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C31711" w14:textId="77777777" w:rsidR="00ED1A27" w:rsidRDefault="006A493A">
      <w:pPr>
        <w:pStyle w:val="1"/>
        <w:jc w:val="center"/>
        <w:rPr>
          <w:sz w:val="32"/>
          <w:szCs w:val="18"/>
        </w:rPr>
      </w:pPr>
      <w:r>
        <w:rPr>
          <w:rFonts w:hint="eastAsia"/>
          <w:sz w:val="32"/>
          <w:szCs w:val="18"/>
        </w:rPr>
        <w:t>项目需求书</w:t>
      </w:r>
    </w:p>
    <w:p w14:paraId="1D6A9563" w14:textId="77777777" w:rsidR="00ED1A27" w:rsidRDefault="006A493A">
      <w:pPr>
        <w:pStyle w:val="1"/>
        <w:spacing w:before="220" w:after="210" w:line="360" w:lineRule="auto"/>
        <w:rPr>
          <w:sz w:val="32"/>
          <w:szCs w:val="18"/>
        </w:rPr>
      </w:pPr>
      <w:r>
        <w:rPr>
          <w:rFonts w:hint="eastAsia"/>
          <w:sz w:val="32"/>
          <w:szCs w:val="18"/>
        </w:rPr>
        <w:t>一、项目背景</w:t>
      </w:r>
    </w:p>
    <w:p w14:paraId="19B25345" w14:textId="77777777" w:rsidR="00ED1A27" w:rsidRDefault="006A493A">
      <w:pPr>
        <w:pStyle w:val="a3"/>
        <w:widowControl/>
        <w:spacing w:line="360" w:lineRule="auto"/>
        <w:ind w:firstLineChars="200" w:firstLine="480"/>
      </w:pPr>
      <w:r>
        <w:t>在</w:t>
      </w:r>
      <w:r>
        <w:t>“</w:t>
      </w:r>
      <w:r>
        <w:t>十五五</w:t>
      </w:r>
      <w:r>
        <w:t>”</w:t>
      </w:r>
      <w:r>
        <w:t>规划的新阶段，面对医保支付制度改革的深化，公立医院需实现从规模扩张向质量优先的深刻转变。亟需构建战略导向明确、数据支持有力、协同路径清晰的现代运营管理体系。</w:t>
      </w:r>
    </w:p>
    <w:p w14:paraId="7A815F56" w14:textId="77777777" w:rsidR="00ED1A27" w:rsidRDefault="006A493A">
      <w:pPr>
        <w:pStyle w:val="2"/>
      </w:pPr>
      <w:r>
        <w:rPr>
          <w:rFonts w:hint="eastAsia"/>
        </w:rPr>
        <w:t>（一）</w:t>
      </w:r>
      <w:r>
        <w:t>政策背景</w:t>
      </w:r>
    </w:p>
    <w:p w14:paraId="6D179EE5" w14:textId="77777777" w:rsidR="00ED1A27" w:rsidRDefault="006A493A">
      <w:pPr>
        <w:pStyle w:val="a3"/>
        <w:widowControl/>
        <w:spacing w:line="360" w:lineRule="auto"/>
        <w:ind w:firstLineChars="200" w:firstLine="480"/>
      </w:pPr>
      <w:r>
        <w:t>面向</w:t>
      </w:r>
      <w:r>
        <w:t>“</w:t>
      </w:r>
      <w:r>
        <w:t>十五五</w:t>
      </w:r>
      <w:r>
        <w:t>”</w:t>
      </w:r>
      <w:r>
        <w:t>（</w:t>
      </w:r>
      <w:r>
        <w:t>2026–2030</w:t>
      </w:r>
      <w:r>
        <w:t>年），国家明确要求公立医院彻底摒弃</w:t>
      </w:r>
      <w:r>
        <w:t>“</w:t>
      </w:r>
      <w:r>
        <w:t>以收入为中心</w:t>
      </w:r>
      <w:r>
        <w:t>”</w:t>
      </w:r>
      <w:r>
        <w:t>的粗放发展模式，全面转向</w:t>
      </w:r>
      <w:r>
        <w:t>“</w:t>
      </w:r>
      <w:r>
        <w:t>以质量、效率、安全、满意度为核心</w:t>
      </w:r>
      <w:r>
        <w:t>”</w:t>
      </w:r>
      <w:r>
        <w:t>的精益运营新范式。在</w:t>
      </w:r>
      <w:r>
        <w:t>DRG/DIP</w:t>
      </w:r>
      <w:r>
        <w:t>支付改革深化、药品耗材零加成、薪酬制度优化、现代医院管理制度建设等政策驱动下，医院发展正由外延扩张向内涵提升、由粗放管理向精细运营加速转型。</w:t>
      </w:r>
    </w:p>
    <w:p w14:paraId="5AF0A24C" w14:textId="77777777" w:rsidR="00ED1A27" w:rsidRDefault="006A493A">
      <w:pPr>
        <w:pStyle w:val="a3"/>
        <w:widowControl/>
        <w:spacing w:line="360" w:lineRule="auto"/>
        <w:ind w:firstLineChars="200" w:firstLine="480"/>
      </w:pPr>
      <w:r>
        <w:rPr>
          <w:rFonts w:hint="eastAsia"/>
        </w:rPr>
        <w:t>在此背景下，</w:t>
      </w:r>
      <w:r>
        <w:t>以国家卫健委《关于加强公立医院运营管理的指导意见》（国卫财务发〔</w:t>
      </w:r>
      <w:r>
        <w:t>2020</w:t>
      </w:r>
      <w:r>
        <w:t>〕</w:t>
      </w:r>
      <w:r>
        <w:t>27</w:t>
      </w:r>
      <w:r>
        <w:t>号）和《公立医院运营管理信息化功能指引》（国卫办财务函〔</w:t>
      </w:r>
      <w:r>
        <w:t>2022</w:t>
      </w:r>
      <w:r>
        <w:t>〕</w:t>
      </w:r>
      <w:r>
        <w:t>126</w:t>
      </w:r>
      <w:r>
        <w:t>号）为指导，对标《医院智慧管理分级评估标准体系（试行）》，围绕</w:t>
      </w:r>
      <w:r>
        <w:t>“</w:t>
      </w:r>
      <w:r>
        <w:t>人、财、物、技</w:t>
      </w:r>
      <w:r>
        <w:t>”</w:t>
      </w:r>
      <w:r>
        <w:t>等核心资源，强化顶层设计，构建统一的运营管理数据平台。通过推动业务与财务深度融合、运营与临床高效协同，全面提升数据驱动下的规范管理、风险防控与决策支持能力，加快打造规范、高效、智能、有温度的现代化智慧医院，切实支撑医院高质量发展迈上新台阶。</w:t>
      </w:r>
    </w:p>
    <w:p w14:paraId="2869047D" w14:textId="77777777" w:rsidR="00ED1A27" w:rsidRDefault="006A493A">
      <w:pPr>
        <w:pStyle w:val="2"/>
      </w:pPr>
      <w:r>
        <w:rPr>
          <w:rFonts w:hint="eastAsia"/>
        </w:rPr>
        <w:t>（二）医院现状</w:t>
      </w:r>
    </w:p>
    <w:p w14:paraId="0716C209" w14:textId="77777777" w:rsidR="00ED1A27" w:rsidRDefault="006A493A">
      <w:pPr>
        <w:pStyle w:val="a3"/>
        <w:widowControl/>
        <w:spacing w:line="360" w:lineRule="auto"/>
        <w:ind w:firstLineChars="200" w:firstLine="480"/>
      </w:pPr>
      <w:bookmarkStart w:id="0" w:name="OLE_LINK354"/>
      <w:bookmarkStart w:id="1" w:name="_GoBack"/>
      <w:r>
        <w:rPr>
          <w:rFonts w:hint="eastAsia"/>
        </w:rPr>
        <w:t>随着院内新版</w:t>
      </w:r>
      <w:r>
        <w:rPr>
          <w:rFonts w:hint="eastAsia"/>
        </w:rPr>
        <w:t>HIS</w:t>
      </w:r>
      <w:r>
        <w:rPr>
          <w:rFonts w:hint="eastAsia"/>
        </w:rPr>
        <w:t>、病案、人事等核心业务系统陆续迭代，数据互通与全流程追溯已成为基本管理要求。</w:t>
      </w:r>
      <w:r>
        <w:t>本次项目面向院领导、职能管理部门、临床科室主任搭建分层级工作视图，设置统一登录入口、统一标准化操作界面，彻底解决多套系统来回切换、数据零散查询的问题。依托数据集成平台全面打通院内各类业</w:t>
      </w:r>
      <w:r>
        <w:lastRenderedPageBreak/>
        <w:t>务数据源，破除数据壁垒，依托</w:t>
      </w:r>
      <w:r>
        <w:t>BI</w:t>
      </w:r>
      <w:r>
        <w:t>工具实现数据可视化、直观化展示。通过系统建设实现临床相关系统、运营系统的数据整合集成与安全共享，统一全院指标统计口径，建立标准化、一体化的数字化辅助决策能力，有效解决人工统计效率低、数据口径</w:t>
      </w:r>
      <w:r>
        <w:rPr>
          <w:rFonts w:hint="eastAsia"/>
        </w:rPr>
        <w:t>多元</w:t>
      </w:r>
      <w:r>
        <w:t>、数据获取困难等痛点，全面支撑医院构建院级综合决策、临床科室运营决策等多元化智慧管理应用场景，助力医院实现运营管理数字化、精细化、智能化升级</w:t>
      </w:r>
      <w:bookmarkEnd w:id="0"/>
      <w:bookmarkEnd w:id="1"/>
      <w:r>
        <w:t>。</w:t>
      </w:r>
    </w:p>
    <w:p w14:paraId="28379E08" w14:textId="77777777" w:rsidR="00ED1A27" w:rsidRDefault="006A493A">
      <w:pPr>
        <w:pStyle w:val="1"/>
        <w:numPr>
          <w:ilvl w:val="0"/>
          <w:numId w:val="2"/>
        </w:numPr>
        <w:spacing w:before="220" w:after="210" w:line="360" w:lineRule="auto"/>
        <w:rPr>
          <w:sz w:val="32"/>
          <w:szCs w:val="18"/>
        </w:rPr>
      </w:pPr>
      <w:bookmarkStart w:id="2" w:name="_Toc25556"/>
      <w:bookmarkStart w:id="3" w:name="_Toc29774"/>
      <w:r>
        <w:rPr>
          <w:rFonts w:hint="eastAsia"/>
          <w:sz w:val="32"/>
          <w:szCs w:val="18"/>
        </w:rPr>
        <w:t>建设内容</w:t>
      </w:r>
      <w:bookmarkEnd w:id="2"/>
      <w:bookmarkEnd w:id="3"/>
      <w:r>
        <w:rPr>
          <w:rFonts w:hint="eastAsia"/>
          <w:sz w:val="32"/>
          <w:szCs w:val="18"/>
        </w:rPr>
        <w:t>及交付时间、地点</w:t>
      </w:r>
    </w:p>
    <w:p w14:paraId="0522D4C8" w14:textId="77777777" w:rsidR="00ED1A27" w:rsidRDefault="006A493A">
      <w:pPr>
        <w:numPr>
          <w:ilvl w:val="0"/>
          <w:numId w:val="3"/>
        </w:numPr>
        <w:spacing w:line="360" w:lineRule="auto"/>
        <w:jc w:val="left"/>
        <w:rPr>
          <w:rFonts w:ascii="宋体" w:hAnsi="宋体" w:cs="宋体"/>
          <w:sz w:val="24"/>
          <w:szCs w:val="24"/>
        </w:rPr>
      </w:pPr>
      <w:r>
        <w:rPr>
          <w:rFonts w:ascii="宋体" w:hAnsi="宋体" w:cs="宋体" w:hint="eastAsia"/>
          <w:sz w:val="24"/>
          <w:szCs w:val="24"/>
        </w:rPr>
        <w:t>建设内容及数量</w:t>
      </w:r>
    </w:p>
    <w:tbl>
      <w:tblPr>
        <w:tblW w:w="46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
        <w:gridCol w:w="3394"/>
        <w:gridCol w:w="997"/>
        <w:gridCol w:w="2821"/>
      </w:tblGrid>
      <w:tr w:rsidR="00ED1A27" w14:paraId="4D5E6430" w14:textId="77777777">
        <w:trPr>
          <w:trHeight w:val="600"/>
          <w:jc w:val="center"/>
        </w:trPr>
        <w:tc>
          <w:tcPr>
            <w:tcW w:w="413" w:type="pct"/>
            <w:vAlign w:val="center"/>
          </w:tcPr>
          <w:p w14:paraId="49979C43" w14:textId="77777777" w:rsidR="00ED1A27" w:rsidRDefault="006A493A">
            <w:pPr>
              <w:jc w:val="center"/>
              <w:rPr>
                <w:rFonts w:ascii="宋体" w:hAnsi="宋体" w:cs="宋体"/>
                <w:szCs w:val="21"/>
              </w:rPr>
            </w:pPr>
            <w:r>
              <w:rPr>
                <w:rFonts w:ascii="宋体" w:hAnsi="宋体" w:cs="宋体" w:hint="eastAsia"/>
                <w:szCs w:val="21"/>
              </w:rPr>
              <w:t>序号</w:t>
            </w:r>
          </w:p>
        </w:tc>
        <w:tc>
          <w:tcPr>
            <w:tcW w:w="2159" w:type="pct"/>
            <w:vAlign w:val="center"/>
          </w:tcPr>
          <w:p w14:paraId="1C45A167" w14:textId="77777777" w:rsidR="00ED1A27" w:rsidRDefault="006A493A">
            <w:pPr>
              <w:jc w:val="center"/>
              <w:rPr>
                <w:rFonts w:ascii="宋体" w:hAnsi="宋体" w:cs="宋体"/>
                <w:szCs w:val="21"/>
              </w:rPr>
            </w:pPr>
            <w:r>
              <w:rPr>
                <w:rFonts w:ascii="宋体" w:hAnsi="宋体" w:cs="宋体" w:hint="eastAsia"/>
                <w:szCs w:val="21"/>
              </w:rPr>
              <w:t>名称</w:t>
            </w:r>
          </w:p>
        </w:tc>
        <w:tc>
          <w:tcPr>
            <w:tcW w:w="634" w:type="pct"/>
            <w:vAlign w:val="center"/>
          </w:tcPr>
          <w:p w14:paraId="1A881AC9" w14:textId="77777777" w:rsidR="00ED1A27" w:rsidRDefault="006A493A">
            <w:pPr>
              <w:jc w:val="center"/>
              <w:rPr>
                <w:rFonts w:ascii="宋体" w:hAnsi="宋体" w:cs="宋体"/>
                <w:szCs w:val="21"/>
              </w:rPr>
            </w:pPr>
            <w:r>
              <w:rPr>
                <w:rFonts w:ascii="宋体" w:hAnsi="宋体" w:cs="宋体" w:hint="eastAsia"/>
                <w:szCs w:val="21"/>
              </w:rPr>
              <w:t>数量</w:t>
            </w:r>
          </w:p>
        </w:tc>
        <w:tc>
          <w:tcPr>
            <w:tcW w:w="1794" w:type="pct"/>
            <w:vAlign w:val="center"/>
          </w:tcPr>
          <w:p w14:paraId="43B2263A" w14:textId="77777777" w:rsidR="00ED1A27" w:rsidRDefault="006A493A">
            <w:pPr>
              <w:jc w:val="center"/>
              <w:rPr>
                <w:rFonts w:ascii="宋体" w:hAnsi="宋体" w:cs="宋体"/>
                <w:szCs w:val="21"/>
              </w:rPr>
            </w:pPr>
            <w:r>
              <w:rPr>
                <w:rFonts w:ascii="宋体" w:hAnsi="宋体" w:cs="宋体" w:hint="eastAsia"/>
                <w:szCs w:val="21"/>
              </w:rPr>
              <w:t>是否接受进口产品</w:t>
            </w:r>
          </w:p>
        </w:tc>
      </w:tr>
      <w:tr w:rsidR="00ED1A27" w14:paraId="274E084C" w14:textId="77777777">
        <w:trPr>
          <w:trHeight w:val="600"/>
          <w:jc w:val="center"/>
        </w:trPr>
        <w:tc>
          <w:tcPr>
            <w:tcW w:w="413" w:type="pct"/>
            <w:vAlign w:val="center"/>
          </w:tcPr>
          <w:p w14:paraId="4C48D91D" w14:textId="77777777" w:rsidR="00ED1A27" w:rsidRDefault="006A493A">
            <w:pPr>
              <w:jc w:val="left"/>
              <w:rPr>
                <w:rFonts w:ascii="宋体" w:hAnsi="宋体" w:cs="宋体"/>
                <w:szCs w:val="21"/>
              </w:rPr>
            </w:pPr>
            <w:r>
              <w:rPr>
                <w:rFonts w:ascii="宋体" w:hAnsi="宋体" w:cs="宋体" w:hint="eastAsia"/>
                <w:szCs w:val="21"/>
              </w:rPr>
              <w:t>1</w:t>
            </w:r>
          </w:p>
        </w:tc>
        <w:tc>
          <w:tcPr>
            <w:tcW w:w="2159" w:type="pct"/>
            <w:vAlign w:val="center"/>
          </w:tcPr>
          <w:p w14:paraId="640F581F" w14:textId="77777777" w:rsidR="00ED1A27" w:rsidRDefault="006A493A">
            <w:pPr>
              <w:jc w:val="left"/>
              <w:rPr>
                <w:rFonts w:ascii="宋体" w:hAnsi="宋体" w:cs="宋体"/>
                <w:szCs w:val="21"/>
              </w:rPr>
            </w:pPr>
            <w:r>
              <w:rPr>
                <w:rFonts w:ascii="宋体" w:hAnsi="宋体" w:cs="宋体" w:hint="eastAsia"/>
                <w:szCs w:val="21"/>
              </w:rPr>
              <w:t>院级运营驾驶舱</w:t>
            </w:r>
          </w:p>
        </w:tc>
        <w:tc>
          <w:tcPr>
            <w:tcW w:w="634" w:type="pct"/>
            <w:vAlign w:val="center"/>
          </w:tcPr>
          <w:p w14:paraId="63019F4C" w14:textId="77777777" w:rsidR="00ED1A27" w:rsidRDefault="006A493A">
            <w:pPr>
              <w:jc w:val="center"/>
              <w:rPr>
                <w:rFonts w:ascii="宋体" w:hAnsi="宋体" w:cs="宋体"/>
                <w:szCs w:val="21"/>
              </w:rPr>
            </w:pPr>
            <w:r>
              <w:rPr>
                <w:rFonts w:ascii="宋体" w:hAnsi="宋体" w:cs="宋体" w:hint="eastAsia"/>
                <w:szCs w:val="21"/>
              </w:rPr>
              <w:t>1</w:t>
            </w:r>
          </w:p>
        </w:tc>
        <w:tc>
          <w:tcPr>
            <w:tcW w:w="1794" w:type="pct"/>
            <w:vAlign w:val="center"/>
          </w:tcPr>
          <w:p w14:paraId="2E870991" w14:textId="77777777" w:rsidR="00ED1A27" w:rsidRDefault="006A493A">
            <w:pPr>
              <w:jc w:val="center"/>
              <w:rPr>
                <w:rFonts w:ascii="宋体" w:hAnsi="宋体" w:cs="宋体"/>
                <w:szCs w:val="21"/>
              </w:rPr>
            </w:pPr>
            <w:r>
              <w:rPr>
                <w:rFonts w:ascii="宋体" w:hAnsi="宋体" w:cs="宋体" w:hint="eastAsia"/>
                <w:szCs w:val="21"/>
              </w:rPr>
              <w:t>否</w:t>
            </w:r>
          </w:p>
        </w:tc>
      </w:tr>
      <w:tr w:rsidR="00ED1A27" w14:paraId="04423BAC" w14:textId="77777777">
        <w:trPr>
          <w:trHeight w:val="600"/>
          <w:jc w:val="center"/>
        </w:trPr>
        <w:tc>
          <w:tcPr>
            <w:tcW w:w="413" w:type="pct"/>
            <w:vAlign w:val="center"/>
          </w:tcPr>
          <w:p w14:paraId="60CF153B" w14:textId="77777777" w:rsidR="00ED1A27" w:rsidRDefault="006A493A">
            <w:pPr>
              <w:jc w:val="left"/>
              <w:rPr>
                <w:rFonts w:ascii="宋体" w:hAnsi="宋体" w:cs="宋体"/>
                <w:szCs w:val="21"/>
              </w:rPr>
            </w:pPr>
            <w:r>
              <w:rPr>
                <w:rFonts w:ascii="宋体" w:hAnsi="宋体" w:cs="宋体" w:hint="eastAsia"/>
                <w:szCs w:val="21"/>
              </w:rPr>
              <w:t>2</w:t>
            </w:r>
          </w:p>
        </w:tc>
        <w:tc>
          <w:tcPr>
            <w:tcW w:w="2159" w:type="pct"/>
            <w:vAlign w:val="center"/>
          </w:tcPr>
          <w:p w14:paraId="036E5FD7" w14:textId="77777777" w:rsidR="00ED1A27" w:rsidRDefault="006A493A">
            <w:pPr>
              <w:jc w:val="left"/>
              <w:rPr>
                <w:rFonts w:ascii="宋体" w:hAnsi="宋体" w:cs="宋体"/>
                <w:szCs w:val="21"/>
              </w:rPr>
            </w:pPr>
            <w:r>
              <w:rPr>
                <w:rFonts w:ascii="宋体" w:hAnsi="宋体" w:cs="宋体" w:hint="eastAsia"/>
                <w:szCs w:val="21"/>
              </w:rPr>
              <w:t>临床科室运营360系统</w:t>
            </w:r>
          </w:p>
        </w:tc>
        <w:tc>
          <w:tcPr>
            <w:tcW w:w="634" w:type="pct"/>
            <w:vAlign w:val="center"/>
          </w:tcPr>
          <w:p w14:paraId="3C5F61B2" w14:textId="77777777" w:rsidR="00ED1A27" w:rsidRDefault="006A493A">
            <w:pPr>
              <w:jc w:val="center"/>
              <w:rPr>
                <w:rFonts w:ascii="宋体" w:hAnsi="宋体" w:cs="宋体"/>
                <w:szCs w:val="21"/>
              </w:rPr>
            </w:pPr>
            <w:r>
              <w:rPr>
                <w:rFonts w:ascii="宋体" w:hAnsi="宋体" w:cs="宋体" w:hint="eastAsia"/>
                <w:szCs w:val="21"/>
              </w:rPr>
              <w:t>1</w:t>
            </w:r>
          </w:p>
        </w:tc>
        <w:tc>
          <w:tcPr>
            <w:tcW w:w="1794" w:type="pct"/>
            <w:vAlign w:val="center"/>
          </w:tcPr>
          <w:p w14:paraId="3233B20C" w14:textId="77777777" w:rsidR="00ED1A27" w:rsidRDefault="006A493A">
            <w:pPr>
              <w:jc w:val="center"/>
              <w:rPr>
                <w:rFonts w:ascii="宋体" w:hAnsi="宋体" w:cs="宋体"/>
                <w:szCs w:val="21"/>
              </w:rPr>
            </w:pPr>
            <w:r>
              <w:rPr>
                <w:rFonts w:ascii="宋体" w:hAnsi="宋体" w:cs="宋体" w:hint="eastAsia"/>
                <w:szCs w:val="21"/>
              </w:rPr>
              <w:t>否</w:t>
            </w:r>
          </w:p>
        </w:tc>
      </w:tr>
      <w:tr w:rsidR="00ED1A27" w14:paraId="77C8EE60" w14:textId="77777777">
        <w:trPr>
          <w:trHeight w:val="600"/>
          <w:jc w:val="center"/>
        </w:trPr>
        <w:tc>
          <w:tcPr>
            <w:tcW w:w="413" w:type="pct"/>
            <w:vAlign w:val="center"/>
          </w:tcPr>
          <w:p w14:paraId="6825559D" w14:textId="77777777" w:rsidR="00ED1A27" w:rsidRDefault="006A493A">
            <w:pPr>
              <w:jc w:val="left"/>
              <w:rPr>
                <w:rFonts w:ascii="宋体" w:hAnsi="宋体" w:cs="宋体"/>
                <w:szCs w:val="21"/>
              </w:rPr>
            </w:pPr>
            <w:r>
              <w:rPr>
                <w:rFonts w:ascii="宋体" w:hAnsi="宋体" w:cs="宋体" w:hint="eastAsia"/>
                <w:szCs w:val="21"/>
              </w:rPr>
              <w:t>3</w:t>
            </w:r>
          </w:p>
        </w:tc>
        <w:tc>
          <w:tcPr>
            <w:tcW w:w="2159" w:type="pct"/>
            <w:vAlign w:val="center"/>
          </w:tcPr>
          <w:p w14:paraId="7B525CFF" w14:textId="77777777" w:rsidR="00ED1A27" w:rsidRDefault="006A493A">
            <w:pPr>
              <w:jc w:val="left"/>
              <w:rPr>
                <w:rFonts w:ascii="宋体" w:hAnsi="宋体" w:cs="宋体"/>
                <w:szCs w:val="21"/>
              </w:rPr>
            </w:pPr>
            <w:r>
              <w:rPr>
                <w:rFonts w:ascii="宋体" w:hAnsi="宋体" w:cs="宋体" w:hint="eastAsia"/>
                <w:szCs w:val="21"/>
              </w:rPr>
              <w:t>数据集成平台</w:t>
            </w:r>
          </w:p>
        </w:tc>
        <w:tc>
          <w:tcPr>
            <w:tcW w:w="634" w:type="pct"/>
            <w:vAlign w:val="center"/>
          </w:tcPr>
          <w:p w14:paraId="21C6913C" w14:textId="77777777" w:rsidR="00ED1A27" w:rsidRDefault="006A493A">
            <w:pPr>
              <w:jc w:val="center"/>
              <w:rPr>
                <w:rFonts w:ascii="宋体" w:hAnsi="宋体" w:cs="宋体"/>
                <w:szCs w:val="21"/>
              </w:rPr>
            </w:pPr>
            <w:r>
              <w:rPr>
                <w:rFonts w:ascii="宋体" w:hAnsi="宋体" w:cs="宋体" w:hint="eastAsia"/>
                <w:szCs w:val="21"/>
              </w:rPr>
              <w:t>1</w:t>
            </w:r>
          </w:p>
        </w:tc>
        <w:tc>
          <w:tcPr>
            <w:tcW w:w="1794" w:type="pct"/>
            <w:vAlign w:val="center"/>
          </w:tcPr>
          <w:p w14:paraId="59BE622B" w14:textId="77777777" w:rsidR="00ED1A27" w:rsidRDefault="006A493A">
            <w:pPr>
              <w:jc w:val="center"/>
              <w:rPr>
                <w:rFonts w:ascii="宋体" w:hAnsi="宋体" w:cs="宋体"/>
                <w:szCs w:val="21"/>
              </w:rPr>
            </w:pPr>
            <w:r>
              <w:rPr>
                <w:rFonts w:ascii="宋体" w:hAnsi="宋体" w:cs="宋体" w:hint="eastAsia"/>
                <w:szCs w:val="21"/>
              </w:rPr>
              <w:t>否</w:t>
            </w:r>
          </w:p>
        </w:tc>
      </w:tr>
    </w:tbl>
    <w:p w14:paraId="612D9F24" w14:textId="77777777" w:rsidR="00ED1A27" w:rsidRDefault="00ED1A27">
      <w:pPr>
        <w:jc w:val="left"/>
        <w:rPr>
          <w:rFonts w:ascii="宋体" w:hAnsi="宋体" w:cs="宋体"/>
          <w:szCs w:val="21"/>
        </w:rPr>
      </w:pPr>
    </w:p>
    <w:p w14:paraId="4642A82F" w14:textId="77777777" w:rsidR="00ED1A27" w:rsidRDefault="006A493A">
      <w:pPr>
        <w:pStyle w:val="a3"/>
        <w:widowControl/>
        <w:spacing w:beforeAutospacing="0" w:afterAutospacing="0" w:line="360" w:lineRule="auto"/>
        <w:ind w:firstLine="14"/>
        <w:contextualSpacing/>
        <w:rPr>
          <w:rFonts w:asciiTheme="minorEastAsia" w:eastAsiaTheme="minorEastAsia" w:hAnsiTheme="minorEastAsia" w:cstheme="minorEastAsia"/>
          <w:color w:val="000000"/>
          <w:szCs w:val="24"/>
        </w:rPr>
      </w:pPr>
      <w:r>
        <w:rPr>
          <w:rFonts w:asciiTheme="minorEastAsia" w:eastAsiaTheme="minorEastAsia" w:hAnsiTheme="minorEastAsia" w:cstheme="minorEastAsia" w:hint="eastAsia"/>
          <w:color w:val="000000"/>
          <w:szCs w:val="24"/>
        </w:rPr>
        <w:t>2.交付时间和地点</w:t>
      </w:r>
    </w:p>
    <w:p w14:paraId="5FF8D987" w14:textId="77777777" w:rsidR="00ED1A27" w:rsidRDefault="006A493A">
      <w:pPr>
        <w:pStyle w:val="a3"/>
        <w:widowControl/>
        <w:spacing w:beforeAutospacing="0" w:afterAutospacing="0" w:line="360" w:lineRule="auto"/>
        <w:ind w:firstLine="14"/>
        <w:contextualSpacing/>
        <w:rPr>
          <w:rFonts w:asciiTheme="minorEastAsia" w:eastAsiaTheme="minorEastAsia" w:hAnsiTheme="minorEastAsia" w:cstheme="minorEastAsia"/>
        </w:rPr>
      </w:pPr>
      <w:r>
        <w:rPr>
          <w:rFonts w:asciiTheme="minorEastAsia" w:eastAsiaTheme="minorEastAsia" w:hAnsiTheme="minorEastAsia" w:cstheme="minorEastAsia" w:hint="eastAsia"/>
          <w:color w:val="000000"/>
          <w:szCs w:val="24"/>
        </w:rPr>
        <w:t>交付的时间：自签订合同之日起4个月内。</w:t>
      </w:r>
    </w:p>
    <w:p w14:paraId="12A08C9F" w14:textId="77777777" w:rsidR="00ED1A27" w:rsidRDefault="006A493A">
      <w:pPr>
        <w:pStyle w:val="a3"/>
        <w:widowControl/>
        <w:spacing w:beforeAutospacing="0" w:afterAutospacing="0" w:line="360" w:lineRule="auto"/>
        <w:contextualSpacing/>
        <w:rPr>
          <w:rFonts w:asciiTheme="minorEastAsia" w:eastAsiaTheme="minorEastAsia" w:hAnsiTheme="minorEastAsia" w:cstheme="minorEastAsia"/>
        </w:rPr>
      </w:pPr>
      <w:r>
        <w:rPr>
          <w:rFonts w:asciiTheme="minorEastAsia" w:eastAsiaTheme="minorEastAsia" w:hAnsiTheme="minorEastAsia" w:cstheme="minorEastAsia" w:hint="eastAsia"/>
          <w:color w:val="000000"/>
          <w:szCs w:val="24"/>
        </w:rPr>
        <w:t>交付的地点：中日友好医院指定地点。</w:t>
      </w:r>
    </w:p>
    <w:p w14:paraId="0BE6CA1D" w14:textId="77777777" w:rsidR="00ED1A27" w:rsidRDefault="00ED1A27">
      <w:pPr>
        <w:jc w:val="left"/>
        <w:rPr>
          <w:rFonts w:ascii="宋体" w:hAnsi="宋体" w:cs="宋体"/>
          <w:szCs w:val="21"/>
        </w:rPr>
      </w:pPr>
    </w:p>
    <w:p w14:paraId="39892B04" w14:textId="77777777" w:rsidR="00ED1A27" w:rsidRDefault="006A493A">
      <w:pPr>
        <w:pStyle w:val="1"/>
        <w:spacing w:before="220" w:after="210" w:line="360" w:lineRule="auto"/>
        <w:rPr>
          <w:sz w:val="32"/>
          <w:szCs w:val="18"/>
        </w:rPr>
      </w:pPr>
      <w:r>
        <w:rPr>
          <w:rFonts w:hint="eastAsia"/>
          <w:sz w:val="32"/>
          <w:szCs w:val="18"/>
        </w:rPr>
        <w:t>三、项目建设原则</w:t>
      </w:r>
    </w:p>
    <w:p w14:paraId="337FFA51" w14:textId="77777777" w:rsidR="00ED1A27" w:rsidRDefault="006A493A">
      <w:pPr>
        <w:numPr>
          <w:ilvl w:val="0"/>
          <w:numId w:val="4"/>
        </w:numPr>
        <w:spacing w:line="360" w:lineRule="auto"/>
        <w:jc w:val="left"/>
        <w:rPr>
          <w:rFonts w:ascii="宋体" w:hAnsi="宋体" w:cs="宋体"/>
          <w:sz w:val="24"/>
          <w:szCs w:val="24"/>
        </w:rPr>
      </w:pPr>
      <w:r>
        <w:rPr>
          <w:rFonts w:ascii="宋体" w:hAnsi="宋体" w:cs="宋体" w:hint="eastAsia"/>
          <w:sz w:val="24"/>
          <w:szCs w:val="24"/>
        </w:rPr>
        <w:t>实用适配：</w:t>
      </w:r>
      <w:r>
        <w:rPr>
          <w:rFonts w:ascii="宋体" w:hAnsi="宋体" w:cs="宋体"/>
          <w:sz w:val="24"/>
          <w:szCs w:val="24"/>
        </w:rPr>
        <w:t>贴合医院运营管理与精细化管理改革要求，满足</w:t>
      </w:r>
      <w:r>
        <w:rPr>
          <w:rFonts w:ascii="宋体" w:hAnsi="宋体" w:cs="宋体" w:hint="eastAsia"/>
          <w:sz w:val="24"/>
          <w:szCs w:val="24"/>
        </w:rPr>
        <w:t>院领导</w:t>
      </w:r>
      <w:r>
        <w:rPr>
          <w:rFonts w:ascii="宋体" w:hAnsi="宋体" w:cs="宋体"/>
          <w:sz w:val="24"/>
          <w:szCs w:val="24"/>
        </w:rPr>
        <w:t>、</w:t>
      </w:r>
      <w:r>
        <w:rPr>
          <w:rFonts w:ascii="宋体" w:hAnsi="宋体" w:cs="宋体" w:hint="eastAsia"/>
          <w:sz w:val="24"/>
          <w:szCs w:val="24"/>
        </w:rPr>
        <w:t>职能部门、临床科室</w:t>
      </w:r>
      <w:r>
        <w:rPr>
          <w:rFonts w:ascii="宋体" w:hAnsi="宋体" w:cs="宋体"/>
          <w:sz w:val="24"/>
          <w:szCs w:val="24"/>
        </w:rPr>
        <w:t>多层级、多维度的运营分析需求</w:t>
      </w:r>
      <w:r>
        <w:rPr>
          <w:rFonts w:ascii="宋体" w:hAnsi="宋体" w:cs="宋体" w:hint="eastAsia"/>
          <w:sz w:val="24"/>
          <w:szCs w:val="24"/>
        </w:rPr>
        <w:t>。</w:t>
      </w:r>
    </w:p>
    <w:p w14:paraId="780F7950" w14:textId="77777777" w:rsidR="00ED1A27" w:rsidRDefault="006A493A">
      <w:pPr>
        <w:numPr>
          <w:ilvl w:val="0"/>
          <w:numId w:val="4"/>
        </w:numPr>
        <w:spacing w:line="360" w:lineRule="auto"/>
        <w:jc w:val="left"/>
        <w:rPr>
          <w:rFonts w:ascii="宋体" w:hAnsi="宋体" w:cs="宋体"/>
          <w:sz w:val="24"/>
          <w:szCs w:val="24"/>
        </w:rPr>
      </w:pPr>
      <w:r>
        <w:rPr>
          <w:rFonts w:ascii="宋体" w:hAnsi="宋体" w:cs="宋体" w:hint="eastAsia"/>
          <w:sz w:val="24"/>
          <w:szCs w:val="24"/>
        </w:rPr>
        <w:t>高效拓展：优化系统性能，突破指标数量限制，支持长期功能迭代。</w:t>
      </w:r>
    </w:p>
    <w:p w14:paraId="147227B4" w14:textId="77777777" w:rsidR="00ED1A27" w:rsidRDefault="006A493A">
      <w:pPr>
        <w:numPr>
          <w:ilvl w:val="0"/>
          <w:numId w:val="4"/>
        </w:numPr>
        <w:spacing w:line="360" w:lineRule="auto"/>
        <w:jc w:val="left"/>
        <w:rPr>
          <w:rFonts w:ascii="宋体" w:hAnsi="宋体" w:cs="宋体"/>
          <w:sz w:val="24"/>
          <w:szCs w:val="24"/>
        </w:rPr>
      </w:pPr>
      <w:r>
        <w:rPr>
          <w:rFonts w:ascii="宋体" w:hAnsi="宋体" w:cs="宋体" w:hint="eastAsia"/>
          <w:sz w:val="24"/>
          <w:szCs w:val="24"/>
        </w:rPr>
        <w:t>透明溯源：</w:t>
      </w:r>
      <w:r>
        <w:rPr>
          <w:rFonts w:ascii="宋体" w:hAnsi="宋体" w:cs="宋体"/>
          <w:sz w:val="24"/>
          <w:szCs w:val="24"/>
        </w:rPr>
        <w:t>指标口径、计算过程、明细数据全程可查，历史记录完整留存，全链路合规、可追溯</w:t>
      </w:r>
      <w:r>
        <w:rPr>
          <w:rFonts w:ascii="宋体" w:hAnsi="宋体" w:cs="宋体" w:hint="eastAsia"/>
          <w:sz w:val="24"/>
          <w:szCs w:val="24"/>
        </w:rPr>
        <w:t>。</w:t>
      </w:r>
    </w:p>
    <w:p w14:paraId="317FCA6A" w14:textId="77777777" w:rsidR="00ED1A27" w:rsidRDefault="006A493A">
      <w:pPr>
        <w:numPr>
          <w:ilvl w:val="0"/>
          <w:numId w:val="4"/>
        </w:numPr>
        <w:spacing w:line="360" w:lineRule="auto"/>
        <w:jc w:val="left"/>
        <w:rPr>
          <w:rFonts w:ascii="宋体" w:hAnsi="宋体" w:cs="宋体"/>
          <w:sz w:val="24"/>
          <w:szCs w:val="24"/>
        </w:rPr>
      </w:pPr>
      <w:r>
        <w:rPr>
          <w:rFonts w:ascii="宋体" w:hAnsi="宋体" w:cs="宋体" w:hint="eastAsia"/>
          <w:sz w:val="24"/>
          <w:szCs w:val="24"/>
        </w:rPr>
        <w:t>简易运维：</w:t>
      </w:r>
      <w:r>
        <w:rPr>
          <w:rFonts w:ascii="宋体" w:hAnsi="宋体" w:cs="宋体"/>
          <w:sz w:val="24"/>
          <w:szCs w:val="24"/>
        </w:rPr>
        <w:t>指标</w:t>
      </w:r>
      <w:r>
        <w:rPr>
          <w:rFonts w:ascii="宋体" w:hAnsi="宋体" w:cs="宋体" w:hint="eastAsia"/>
          <w:sz w:val="24"/>
          <w:szCs w:val="24"/>
        </w:rPr>
        <w:t>管理</w:t>
      </w:r>
      <w:r>
        <w:rPr>
          <w:rFonts w:ascii="宋体" w:hAnsi="宋体" w:cs="宋体"/>
          <w:sz w:val="24"/>
          <w:szCs w:val="24"/>
        </w:rPr>
        <w:t>、</w:t>
      </w:r>
      <w:r>
        <w:rPr>
          <w:rFonts w:ascii="宋体" w:hAnsi="宋体" w:cs="宋体" w:hint="eastAsia"/>
          <w:sz w:val="24"/>
          <w:szCs w:val="24"/>
        </w:rPr>
        <w:t>BI可视化</w:t>
      </w:r>
      <w:r>
        <w:rPr>
          <w:rFonts w:ascii="宋体" w:hAnsi="宋体" w:cs="宋体"/>
          <w:sz w:val="24"/>
          <w:szCs w:val="24"/>
        </w:rPr>
        <w:t>前台可配置，降低后期维护与调整难度，支持非技术人员自助运营</w:t>
      </w:r>
      <w:r>
        <w:rPr>
          <w:rFonts w:ascii="宋体" w:hAnsi="宋体" w:cs="宋体" w:hint="eastAsia"/>
          <w:sz w:val="24"/>
          <w:szCs w:val="24"/>
        </w:rPr>
        <w:t>。</w:t>
      </w:r>
    </w:p>
    <w:p w14:paraId="583A0040" w14:textId="77777777" w:rsidR="00ED1A27" w:rsidRDefault="006A493A">
      <w:pPr>
        <w:numPr>
          <w:ilvl w:val="0"/>
          <w:numId w:val="4"/>
        </w:numPr>
        <w:spacing w:line="360" w:lineRule="auto"/>
        <w:jc w:val="left"/>
        <w:rPr>
          <w:rFonts w:ascii="宋体" w:hAnsi="宋体" w:cs="宋体"/>
          <w:sz w:val="24"/>
          <w:szCs w:val="24"/>
        </w:rPr>
      </w:pPr>
      <w:r>
        <w:rPr>
          <w:rFonts w:ascii="宋体" w:hAnsi="宋体" w:cs="宋体" w:hint="eastAsia"/>
          <w:sz w:val="24"/>
          <w:szCs w:val="24"/>
        </w:rPr>
        <w:t>数据可靠：</w:t>
      </w:r>
      <w:r>
        <w:rPr>
          <w:rFonts w:ascii="宋体" w:hAnsi="宋体" w:cs="宋体"/>
          <w:sz w:val="24"/>
          <w:szCs w:val="24"/>
        </w:rPr>
        <w:t>完善数据治理、质量管控与权限分级，保障数据来源准确、口径</w:t>
      </w:r>
      <w:r>
        <w:rPr>
          <w:rFonts w:ascii="宋体" w:hAnsi="宋体" w:cs="宋体"/>
          <w:sz w:val="24"/>
          <w:szCs w:val="24"/>
        </w:rPr>
        <w:lastRenderedPageBreak/>
        <w:t>统一、安全可控</w:t>
      </w:r>
      <w:r>
        <w:rPr>
          <w:rFonts w:ascii="宋体" w:hAnsi="宋体" w:cs="宋体" w:hint="eastAsia"/>
          <w:sz w:val="24"/>
          <w:szCs w:val="24"/>
        </w:rPr>
        <w:t>。</w:t>
      </w:r>
    </w:p>
    <w:p w14:paraId="25BC491F" w14:textId="77777777" w:rsidR="00ED1A27" w:rsidRDefault="006A493A">
      <w:pPr>
        <w:numPr>
          <w:ilvl w:val="0"/>
          <w:numId w:val="4"/>
        </w:numPr>
        <w:spacing w:line="360" w:lineRule="auto"/>
        <w:jc w:val="left"/>
        <w:rPr>
          <w:rFonts w:ascii="宋体" w:hAnsi="宋体" w:cs="宋体"/>
          <w:sz w:val="24"/>
          <w:szCs w:val="24"/>
        </w:rPr>
      </w:pPr>
      <w:r>
        <w:rPr>
          <w:rFonts w:ascii="宋体" w:hAnsi="宋体" w:cs="宋体" w:hint="eastAsia"/>
          <w:sz w:val="24"/>
          <w:szCs w:val="24"/>
        </w:rPr>
        <w:t>自动提效：</w:t>
      </w:r>
      <w:r>
        <w:rPr>
          <w:rFonts w:ascii="宋体" w:hAnsi="宋体" w:cs="宋体"/>
          <w:sz w:val="24"/>
          <w:szCs w:val="24"/>
        </w:rPr>
        <w:t>自动采集、自动计算、自动生成分析报告，替代手工取数与报表加工，简化流程、释放人力</w:t>
      </w:r>
      <w:r>
        <w:rPr>
          <w:rFonts w:ascii="宋体" w:hAnsi="宋体" w:cs="宋体" w:hint="eastAsia"/>
          <w:sz w:val="24"/>
          <w:szCs w:val="24"/>
        </w:rPr>
        <w:t>。</w:t>
      </w:r>
    </w:p>
    <w:p w14:paraId="482EFC63" w14:textId="77777777" w:rsidR="00ED1A27" w:rsidRDefault="006A493A">
      <w:pPr>
        <w:numPr>
          <w:ilvl w:val="0"/>
          <w:numId w:val="4"/>
        </w:numPr>
        <w:spacing w:line="360" w:lineRule="auto"/>
        <w:jc w:val="left"/>
        <w:rPr>
          <w:rFonts w:ascii="宋体" w:hAnsi="宋体" w:cs="宋体"/>
          <w:sz w:val="24"/>
          <w:szCs w:val="24"/>
        </w:rPr>
      </w:pPr>
      <w:r>
        <w:rPr>
          <w:rFonts w:ascii="宋体" w:hAnsi="宋体" w:cs="宋体" w:hint="eastAsia"/>
          <w:sz w:val="24"/>
          <w:szCs w:val="24"/>
        </w:rPr>
        <w:t>平稳对接：</w:t>
      </w:r>
      <w:r>
        <w:rPr>
          <w:rFonts w:ascii="宋体" w:hAnsi="宋体" w:cs="宋体"/>
          <w:sz w:val="24"/>
          <w:szCs w:val="24"/>
        </w:rPr>
        <w:t>历史数据完整迁移，与 HIS、HRP 等院内各类业务系统无缝集成，兼容多源异构数据，保障连续平稳运行</w:t>
      </w:r>
      <w:r>
        <w:rPr>
          <w:rFonts w:ascii="宋体" w:hAnsi="宋体" w:cs="宋体" w:hint="eastAsia"/>
          <w:sz w:val="24"/>
          <w:szCs w:val="24"/>
        </w:rPr>
        <w:t>。</w:t>
      </w:r>
    </w:p>
    <w:p w14:paraId="040177E8" w14:textId="77777777" w:rsidR="00ED1A27" w:rsidRDefault="00ED1A27">
      <w:pPr>
        <w:spacing w:line="360" w:lineRule="auto"/>
        <w:ind w:left="425"/>
        <w:jc w:val="left"/>
        <w:rPr>
          <w:rFonts w:ascii="宋体" w:hAnsi="宋体" w:cs="宋体"/>
          <w:sz w:val="24"/>
          <w:szCs w:val="24"/>
        </w:rPr>
      </w:pPr>
    </w:p>
    <w:p w14:paraId="6332F243" w14:textId="77777777" w:rsidR="00ED1A27" w:rsidRDefault="006A493A">
      <w:pPr>
        <w:pStyle w:val="1"/>
        <w:spacing w:before="220" w:after="210" w:line="360" w:lineRule="auto"/>
        <w:rPr>
          <w:sz w:val="32"/>
          <w:szCs w:val="18"/>
        </w:rPr>
      </w:pPr>
      <w:r>
        <w:rPr>
          <w:rFonts w:hint="eastAsia"/>
          <w:sz w:val="32"/>
          <w:szCs w:val="18"/>
        </w:rPr>
        <w:t>四、项目建设要求</w:t>
      </w:r>
    </w:p>
    <w:p w14:paraId="6855EE0D" w14:textId="77777777" w:rsidR="00ED1A27" w:rsidRDefault="006A493A">
      <w:pPr>
        <w:pStyle w:val="2"/>
      </w:pPr>
      <w:r>
        <w:rPr>
          <w:rFonts w:hint="eastAsia"/>
        </w:rPr>
        <w:t>（一）功能要求</w:t>
      </w:r>
    </w:p>
    <w:p w14:paraId="09BE3D45" w14:textId="77777777" w:rsidR="00ED1A27" w:rsidRDefault="006A493A">
      <w:pPr>
        <w:pStyle w:val="3"/>
        <w:numPr>
          <w:ilvl w:val="0"/>
          <w:numId w:val="5"/>
        </w:numPr>
        <w:tabs>
          <w:tab w:val="clear" w:pos="432"/>
          <w:tab w:val="clear" w:pos="720"/>
          <w:tab w:val="left" w:pos="1008"/>
        </w:tabs>
        <w:spacing w:before="0" w:after="0"/>
        <w:ind w:left="720" w:hanging="720"/>
        <w:rPr>
          <w:rFonts w:asciiTheme="minorEastAsia" w:hAnsiTheme="minorEastAsia"/>
        </w:rPr>
      </w:pPr>
      <w:r>
        <w:rPr>
          <w:rFonts w:asciiTheme="minorEastAsia" w:hAnsiTheme="minorEastAsia" w:hint="eastAsia"/>
        </w:rPr>
        <w:t>院级运营驾驶舱</w:t>
      </w:r>
    </w:p>
    <w:p w14:paraId="45E74756"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支持管理者根据实际管理需求定制选择重点监控指标，通过图表直观展示指标的动态变化轨迹，借助科室对比呈现不同科室的执行差异，实现全方位、立体化的监控分析。</w:t>
      </w:r>
    </w:p>
    <w:p w14:paraId="54A878CB"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支持一院多区的管理需求，系统支持不同院区之间关键指标的横向对比分析。通过整合各院区的业务数据，实现同一医院不同院区在工作量、收入、效率等核心指标上的直观比对。</w:t>
      </w:r>
    </w:p>
    <w:p w14:paraId="6AC11842"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支持大屏自定义配置功能，基于可视化配置技术，实现大屏上各元素的拖拽式灵活调整。可根据会议汇报、日常监控等不同场景的需求，自主设计大屏展示方案，快速添加或移除指标模块、调整数据可视化形式，系统能及时响应各类个性化调整需求，确保大屏展示内容与管理目标高度匹配。</w:t>
      </w:r>
    </w:p>
    <w:p w14:paraId="15265C1E" w14:textId="77777777" w:rsidR="00ED1A27" w:rsidRDefault="006A493A">
      <w:pPr>
        <w:pStyle w:val="3"/>
        <w:numPr>
          <w:ilvl w:val="0"/>
          <w:numId w:val="5"/>
        </w:numPr>
        <w:tabs>
          <w:tab w:val="clear" w:pos="432"/>
          <w:tab w:val="clear" w:pos="720"/>
          <w:tab w:val="left" w:pos="1008"/>
        </w:tabs>
        <w:spacing w:before="0" w:after="0"/>
        <w:ind w:left="720" w:hanging="720"/>
        <w:rPr>
          <w:rFonts w:asciiTheme="minorEastAsia" w:hAnsiTheme="minorEastAsia"/>
        </w:rPr>
      </w:pPr>
      <w:r>
        <w:rPr>
          <w:rFonts w:asciiTheme="minorEastAsia" w:hAnsiTheme="minorEastAsia" w:hint="eastAsia"/>
        </w:rPr>
        <w:t>临床科室运营360系统</w:t>
      </w:r>
    </w:p>
    <w:p w14:paraId="5531A0C9"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sz w:val="24"/>
          <w:szCs w:val="24"/>
        </w:rPr>
        <w:t>基于医院智慧管理建设目标，</w:t>
      </w:r>
      <w:r>
        <w:rPr>
          <w:rFonts w:ascii="宋体" w:hAnsi="宋体" w:cs="仿宋_GB2312" w:hint="eastAsia"/>
          <w:sz w:val="24"/>
          <w:szCs w:val="24"/>
        </w:rPr>
        <w:t>临床</w:t>
      </w:r>
      <w:r>
        <w:rPr>
          <w:rFonts w:ascii="宋体" w:hAnsi="宋体" w:cs="仿宋_GB2312"/>
          <w:sz w:val="24"/>
          <w:szCs w:val="24"/>
        </w:rPr>
        <w:t>科室运营36</w:t>
      </w:r>
      <w:r>
        <w:rPr>
          <w:rFonts w:ascii="宋体" w:hAnsi="宋体" w:cs="仿宋_GB2312" w:hint="eastAsia"/>
          <w:sz w:val="24"/>
          <w:szCs w:val="24"/>
        </w:rPr>
        <w:t>0</w:t>
      </w:r>
      <w:r>
        <w:rPr>
          <w:rFonts w:ascii="宋体" w:hAnsi="宋体" w:cs="仿宋_GB2312"/>
          <w:sz w:val="24"/>
          <w:szCs w:val="24"/>
        </w:rPr>
        <w:t>通过“业务全链路覆盖、数据多维度关联”的特征，帮助临床科主任从运营数据中挖掘系统性问题，实现从“经验决策”到“数据驱动”的转型。业务全链路覆盖，需满足业务流程的完整性，覆盖临床科室运营全流程，包括</w:t>
      </w:r>
      <w:r>
        <w:rPr>
          <w:rFonts w:ascii="宋体" w:hAnsi="宋体" w:cs="仿宋_GB2312" w:hint="eastAsia"/>
          <w:sz w:val="24"/>
          <w:szCs w:val="24"/>
        </w:rPr>
        <w:t>科室目标值监测、</w:t>
      </w:r>
      <w:r>
        <w:rPr>
          <w:rFonts w:ascii="宋体" w:hAnsi="宋体" w:cs="仿宋_GB2312"/>
          <w:sz w:val="24"/>
          <w:szCs w:val="24"/>
        </w:rPr>
        <w:t>经济效益评价、医疗服务</w:t>
      </w:r>
      <w:r>
        <w:rPr>
          <w:rFonts w:ascii="宋体" w:hAnsi="宋体" w:cs="仿宋_GB2312" w:hint="eastAsia"/>
          <w:sz w:val="24"/>
          <w:szCs w:val="24"/>
        </w:rPr>
        <w:t>分析</w:t>
      </w:r>
      <w:r>
        <w:rPr>
          <w:rFonts w:ascii="宋体" w:hAnsi="宋体" w:cs="仿宋_GB2312"/>
          <w:sz w:val="24"/>
          <w:szCs w:val="24"/>
        </w:rPr>
        <w:t>、药耗成本管控主题，确保分析链路无断点。数据多维度关联，需满足数据层级穿透，支持从结果指标逐层下钻至中观维度/过程指标，再穿透至微观数据，实现“指标→维度→明细”的深度拆解。支持“科室→病区→医生/诊疗组”不</w:t>
      </w:r>
      <w:r>
        <w:rPr>
          <w:rFonts w:ascii="宋体" w:hAnsi="宋体" w:cs="仿宋_GB2312"/>
          <w:sz w:val="24"/>
          <w:szCs w:val="24"/>
        </w:rPr>
        <w:lastRenderedPageBreak/>
        <w:t>同组织层级的运营分析需求。支持“纵向（本科室同比、环比）、横向（</w:t>
      </w:r>
      <w:r>
        <w:rPr>
          <w:rFonts w:ascii="宋体" w:hAnsi="宋体" w:cs="仿宋_GB2312" w:hint="eastAsia"/>
          <w:sz w:val="24"/>
          <w:szCs w:val="24"/>
        </w:rPr>
        <w:t>病区/诊疗组</w:t>
      </w:r>
      <w:r>
        <w:rPr>
          <w:rFonts w:ascii="宋体" w:hAnsi="宋体" w:cs="仿宋_GB2312"/>
          <w:sz w:val="24"/>
          <w:szCs w:val="24"/>
        </w:rPr>
        <w:t>间排名）、趋势、结构、差异、预警”等不同方法下的运营分析需求</w:t>
      </w:r>
      <w:r>
        <w:rPr>
          <w:rFonts w:ascii="宋体" w:hAnsi="宋体" w:cs="仿宋_GB2312" w:hint="eastAsia"/>
          <w:sz w:val="24"/>
          <w:szCs w:val="24"/>
        </w:rPr>
        <w:t>。</w:t>
      </w:r>
    </w:p>
    <w:p w14:paraId="4851DC84" w14:textId="77777777" w:rsidR="00ED1A27" w:rsidRDefault="006A493A">
      <w:pPr>
        <w:pStyle w:val="a5"/>
        <w:numPr>
          <w:ilvl w:val="0"/>
          <w:numId w:val="6"/>
        </w:numPr>
        <w:spacing w:line="360" w:lineRule="auto"/>
        <w:ind w:firstLineChars="0"/>
        <w:rPr>
          <w:rFonts w:ascii="宋体" w:hAnsi="宋体" w:cs="仿宋_GB2312"/>
          <w:b/>
          <w:bCs/>
          <w:sz w:val="24"/>
          <w:szCs w:val="24"/>
        </w:rPr>
      </w:pPr>
      <w:r>
        <w:rPr>
          <w:rFonts w:ascii="宋体" w:hAnsi="宋体" w:cs="仿宋_GB2312" w:hint="eastAsia"/>
          <w:b/>
          <w:bCs/>
          <w:sz w:val="24"/>
          <w:szCs w:val="24"/>
        </w:rPr>
        <w:t>科室目标值监测</w:t>
      </w:r>
    </w:p>
    <w:p w14:paraId="6D336AD0"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针对科室门诊量、出院人数、CMI、出院患者手术占比、出院患者四级手术占比等重点指标，可根据指标特性，设定目标值和阈值，定期监测目标完成情况。</w:t>
      </w:r>
    </w:p>
    <w:p w14:paraId="6895ABF7"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目标值设定方法包括但不限于：历史平均法、时间序列预测法、多元回归预测法等。</w:t>
      </w:r>
    </w:p>
    <w:p w14:paraId="7E60AB9A"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基于实际值与目标值的差异对比，实现对科室目标完成情况监控，定位不达标的指标或较目标值偏差较大的指标，并对异常指标进行深入挖掘，可通过既定分析路径实现穿透分析，支持各病区/诊疗组/医生差异对比。</w:t>
      </w:r>
    </w:p>
    <w:p w14:paraId="6440E926" w14:textId="77777777" w:rsidR="00ED1A27" w:rsidRDefault="006A493A">
      <w:pPr>
        <w:pStyle w:val="a5"/>
        <w:numPr>
          <w:ilvl w:val="0"/>
          <w:numId w:val="6"/>
        </w:numPr>
        <w:spacing w:line="360" w:lineRule="auto"/>
        <w:ind w:firstLineChars="0"/>
        <w:rPr>
          <w:rFonts w:ascii="宋体" w:hAnsi="宋体" w:cs="仿宋_GB2312"/>
          <w:b/>
          <w:bCs/>
          <w:sz w:val="24"/>
          <w:szCs w:val="24"/>
        </w:rPr>
      </w:pPr>
      <w:r>
        <w:rPr>
          <w:rFonts w:ascii="宋体" w:hAnsi="宋体" w:cs="仿宋_GB2312" w:hint="eastAsia"/>
          <w:b/>
          <w:bCs/>
          <w:sz w:val="24"/>
          <w:szCs w:val="24"/>
        </w:rPr>
        <w:t>经济效益评价</w:t>
      </w:r>
    </w:p>
    <w:p w14:paraId="36F2E525"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基于科室经济效益维度提供科室损益成绩单，通过收入、成本等业务数据评估科室整体的损益结果，根据关键影响因素，探寻改善策略。</w:t>
      </w:r>
    </w:p>
    <w:p w14:paraId="1F4D88F2"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支持科室整体收入分析、门诊收入分析、住院收入分析，用于诊断医疗收入稳定性和收入结果优化问题。收入分析支持数据层级穿透，支持从宏观指标（医疗收入目标完成率）逐层下钻至中观维度（收入大类/收费类别），再穿透至微观数据（收费项目明细），实现“指标→维度→明细”的深度拆解。</w:t>
      </w:r>
    </w:p>
    <w:p w14:paraId="7C8B70D8"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支持因素分析法实现收入变动归因分析闭环，将医疗收入影响因素落实到收入类型影响因素和业务类型影响因素。收入类型可进一步拆分为药品、卫生材料、检查检验、医疗服务收入对医疗收入的影响金额；业务类型分为门诊业务和住院业务，进一步拆分到门急诊人次、门急诊次均费用、出院人次和住院次均费用上，根据影响金额落实关键影响因素，探寻改善策略。</w:t>
      </w:r>
    </w:p>
    <w:p w14:paraId="0C7512DF"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支持从科室直接成本和全成本两个维度开展成本变动分析，支持对直接成本构成（主要为人力成本、药品成本、耗材成本、固定资产折旧）和间接成本构成（分摊管理成本、分摊医辅成本、分摊医技成本）变化进行多视角解读。</w:t>
      </w:r>
    </w:p>
    <w:p w14:paraId="155D34E8"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支持直接成本可从成本类型进一步下钻到成本项目差异对比，间接成本可进一步下钻查看各分摊科室的成本情况，还原成本归集与分摊的流程。</w:t>
      </w:r>
    </w:p>
    <w:p w14:paraId="2A106513" w14:textId="77777777" w:rsidR="00ED1A27" w:rsidRDefault="006A493A">
      <w:pPr>
        <w:pStyle w:val="a5"/>
        <w:numPr>
          <w:ilvl w:val="0"/>
          <w:numId w:val="6"/>
        </w:numPr>
        <w:spacing w:line="360" w:lineRule="auto"/>
        <w:ind w:firstLineChars="0"/>
        <w:rPr>
          <w:rFonts w:ascii="宋体" w:hAnsi="宋体" w:cs="仿宋_GB2312"/>
          <w:b/>
          <w:bCs/>
          <w:sz w:val="24"/>
          <w:szCs w:val="24"/>
        </w:rPr>
      </w:pPr>
      <w:r>
        <w:rPr>
          <w:rFonts w:ascii="宋体" w:hAnsi="宋体" w:cs="仿宋_GB2312" w:hint="eastAsia"/>
          <w:b/>
          <w:bCs/>
          <w:sz w:val="24"/>
          <w:szCs w:val="24"/>
        </w:rPr>
        <w:t>医疗服务分析</w:t>
      </w:r>
    </w:p>
    <w:p w14:paraId="7DB56DD5"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支持从门诊、住院、手术业务下对医疗服务规模、服务效率、服务能力三方</w:t>
      </w:r>
      <w:r>
        <w:rPr>
          <w:rFonts w:ascii="宋体" w:hAnsi="宋体" w:cs="仿宋_GB2312" w:hint="eastAsia"/>
          <w:sz w:val="24"/>
          <w:szCs w:val="24"/>
        </w:rPr>
        <w:lastRenderedPageBreak/>
        <w:t>面展开分析。</w:t>
      </w:r>
    </w:p>
    <w:p w14:paraId="3443730D"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针对门诊业务，支持对门诊号源饱和度进行分析，从号源类别维度分析不同号别饱和度差异；支持对门诊患者的地域分布分析，从不同地域维度分析人次及占比变动差异；支持基于门诊工作效率及住院转化矩阵，从医师次均接诊人次和门急诊入院率双角度评估各门诊医师工作效率及门诊住院转化有效性；支持对各门诊医师门诊业务指标变动差异进行对比。</w:t>
      </w:r>
    </w:p>
    <w:p w14:paraId="1AA17824"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针对住院业务，支持对住院患者的地域分布分析，从不同地域维度分析人次及占比变动差异；支持基于住院工作量及手术能力矩阵，从出院人次和手术人次双角度评估各诊疗组收治规模和疑难危重救治能力；支持对各病区/诊疗组住院业务指标变动差异进行对比。</w:t>
      </w:r>
    </w:p>
    <w:p w14:paraId="5EAF5F7E"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针对手术业务，支持基于患者路径转化漏斗（门急诊人次→出院人次→手术人次→四级手术人次），综合评价科室诊疗能力，尤其是高难度手术的开展能力；支持从国考口径分析出院患者微创手术占比及出院患者四级手术占比变动情况；支持对科室手术级次分布情况进行分析，分析各级次手术变动情况；支持对各病区/诊疗组/主刀医师手术业务指标变动差异进行对比。</w:t>
      </w:r>
    </w:p>
    <w:p w14:paraId="38E5A4C0" w14:textId="77777777" w:rsidR="00ED1A27" w:rsidRDefault="006A493A">
      <w:pPr>
        <w:pStyle w:val="a5"/>
        <w:numPr>
          <w:ilvl w:val="0"/>
          <w:numId w:val="6"/>
        </w:numPr>
        <w:spacing w:line="360" w:lineRule="auto"/>
        <w:ind w:firstLineChars="0"/>
        <w:rPr>
          <w:rFonts w:ascii="宋体" w:hAnsi="宋体" w:cs="仿宋_GB2312"/>
          <w:sz w:val="24"/>
          <w:szCs w:val="24"/>
        </w:rPr>
      </w:pPr>
      <w:r>
        <w:rPr>
          <w:rFonts w:ascii="宋体" w:hAnsi="宋体" w:cs="仿宋_GB2312" w:hint="eastAsia"/>
          <w:sz w:val="24"/>
          <w:szCs w:val="24"/>
        </w:rPr>
        <w:t>药耗成本管控</w:t>
      </w:r>
    </w:p>
    <w:p w14:paraId="44ECAFCE"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支持诊断识别科室药品、耗材使用的不合理情况，基于数据多维度关联，满足数据层级穿透，支持从结果指标逐层下钻至过程指标，再穿透至微观数据，实现“指标（如门诊次均药品费用）→维度（各药品通用名次均费用）→明细（某一药品通用名医师使用差异明细）”的深度拆解。</w:t>
      </w:r>
    </w:p>
    <w:p w14:paraId="4721483A"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从门诊、住院双业务角度，提供药品、耗材品规异常波动情况，识别重点管控药品、耗材；提供医生个人、诊疗组、病区用药/用耗异常波动情况。</w:t>
      </w:r>
    </w:p>
    <w:p w14:paraId="78B7035B" w14:textId="77777777" w:rsidR="00ED1A27" w:rsidRDefault="006A493A">
      <w:pPr>
        <w:pStyle w:val="3"/>
        <w:numPr>
          <w:ilvl w:val="0"/>
          <w:numId w:val="5"/>
        </w:numPr>
        <w:tabs>
          <w:tab w:val="clear" w:pos="432"/>
          <w:tab w:val="clear" w:pos="720"/>
          <w:tab w:val="left" w:pos="1008"/>
        </w:tabs>
        <w:spacing w:before="0" w:after="0"/>
        <w:ind w:left="720" w:hanging="720"/>
        <w:rPr>
          <w:rFonts w:asciiTheme="minorEastAsia" w:hAnsiTheme="minorEastAsia"/>
        </w:rPr>
      </w:pPr>
      <w:r>
        <w:rPr>
          <w:rFonts w:asciiTheme="minorEastAsia" w:hAnsiTheme="minorEastAsia" w:hint="eastAsia"/>
        </w:rPr>
        <w:t>数据集成平台</w:t>
      </w:r>
    </w:p>
    <w:p w14:paraId="3CEB91FD"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sz w:val="24"/>
          <w:szCs w:val="24"/>
        </w:rPr>
        <w:t>数据集成平台，提供配置灵活、处理高效的数据集成能力，支持管理和整合来自不同业务系统、不同结构、不同格式、不同类型的数据。同步提供数据质量校验、数据清洗、数据转换以及数据输出的能力。支持批量、准实时的数据移动</w:t>
      </w:r>
      <w:r>
        <w:rPr>
          <w:rFonts w:ascii="宋体" w:hAnsi="宋体" w:cs="仿宋_GB2312" w:hint="eastAsia"/>
          <w:sz w:val="24"/>
          <w:szCs w:val="24"/>
        </w:rPr>
        <w:t>。</w:t>
      </w:r>
    </w:p>
    <w:p w14:paraId="15C8FD61"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数据集成治理服务，</w:t>
      </w:r>
      <w:r>
        <w:rPr>
          <w:rFonts w:ascii="宋体" w:hAnsi="宋体" w:cs="仿宋_GB2312"/>
          <w:sz w:val="24"/>
          <w:szCs w:val="24"/>
        </w:rPr>
        <w:t>以数据标准为基础，以业务活动为核心，全面梳理医院</w:t>
      </w:r>
      <w:r>
        <w:rPr>
          <w:rFonts w:ascii="宋体" w:hAnsi="宋体" w:cs="仿宋_GB2312" w:hint="eastAsia"/>
          <w:sz w:val="24"/>
          <w:szCs w:val="24"/>
        </w:rPr>
        <w:t>临床管理业务系统和</w:t>
      </w:r>
      <w:r>
        <w:rPr>
          <w:rFonts w:ascii="宋体" w:hAnsi="宋体" w:cs="仿宋_GB2312"/>
          <w:sz w:val="24"/>
          <w:szCs w:val="24"/>
        </w:rPr>
        <w:t>运营管理业务系统相关数据，包括业务数据、字典数据集关系数据等。结合数据集成平台，完成</w:t>
      </w:r>
      <w:r>
        <w:rPr>
          <w:rFonts w:ascii="宋体" w:hAnsi="宋体" w:cs="仿宋_GB2312" w:hint="eastAsia"/>
          <w:sz w:val="24"/>
          <w:szCs w:val="24"/>
        </w:rPr>
        <w:t>临床管理系统和</w:t>
      </w:r>
      <w:r>
        <w:rPr>
          <w:rFonts w:ascii="宋体" w:hAnsi="宋体" w:cs="仿宋_GB2312"/>
          <w:sz w:val="24"/>
          <w:szCs w:val="24"/>
        </w:rPr>
        <w:t>运营管理系统中相关业务数</w:t>
      </w:r>
      <w:r>
        <w:rPr>
          <w:rFonts w:ascii="宋体" w:hAnsi="宋体" w:cs="仿宋_GB2312"/>
          <w:sz w:val="24"/>
          <w:szCs w:val="24"/>
        </w:rPr>
        <w:lastRenderedPageBreak/>
        <w:t>据的集成接口配置、接口调试、数据验证、自动化集成配置与监控。帮助医院实现</w:t>
      </w:r>
      <w:r>
        <w:rPr>
          <w:rFonts w:ascii="宋体" w:hAnsi="宋体" w:cs="仿宋_GB2312" w:hint="eastAsia"/>
          <w:sz w:val="24"/>
          <w:szCs w:val="24"/>
        </w:rPr>
        <w:t>临床与</w:t>
      </w:r>
      <w:r>
        <w:rPr>
          <w:rFonts w:ascii="宋体" w:hAnsi="宋体" w:cs="仿宋_GB2312"/>
          <w:sz w:val="24"/>
          <w:szCs w:val="24"/>
        </w:rPr>
        <w:t>运营数据及时、全面、准确的集成治理与管理，进一步支撑分析决策，发挥数据价值</w:t>
      </w:r>
      <w:r>
        <w:rPr>
          <w:rFonts w:ascii="宋体" w:hAnsi="宋体" w:cs="仿宋_GB2312" w:hint="eastAsia"/>
          <w:sz w:val="24"/>
          <w:szCs w:val="24"/>
        </w:rPr>
        <w:t>。</w:t>
      </w:r>
    </w:p>
    <w:p w14:paraId="03859EF0" w14:textId="77777777" w:rsidR="00ED1A27" w:rsidRDefault="006A493A">
      <w:pPr>
        <w:pStyle w:val="a5"/>
        <w:numPr>
          <w:ilvl w:val="0"/>
          <w:numId w:val="7"/>
        </w:numPr>
        <w:spacing w:line="360" w:lineRule="auto"/>
        <w:ind w:firstLineChars="0"/>
        <w:rPr>
          <w:rFonts w:ascii="宋体" w:hAnsi="宋体" w:cs="仿宋_GB2312"/>
          <w:b/>
          <w:bCs/>
          <w:sz w:val="24"/>
          <w:szCs w:val="24"/>
        </w:rPr>
      </w:pPr>
      <w:r>
        <w:rPr>
          <w:rFonts w:ascii="宋体" w:hAnsi="宋体" w:cs="仿宋_GB2312" w:hint="eastAsia"/>
          <w:b/>
          <w:bCs/>
          <w:sz w:val="24"/>
          <w:szCs w:val="24"/>
        </w:rPr>
        <w:t>数据采集</w:t>
      </w:r>
    </w:p>
    <w:p w14:paraId="20E1C4C4"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sz w:val="24"/>
          <w:szCs w:val="24"/>
        </w:rPr>
        <w:t>支持包括数据库采集、文件采集以及数据填报三种方式的数据采集，满足不同数据来源系统建设程度不同以及数据需求个性化的数据采集模式。其中，数据库采集包括数据源连接、原始表定义以及采集关系配置；文件采集包括文件上传和文件目录采集；数据填报可自定义需上报的项目字典，进行数据填报、数据查询与数据审核。</w:t>
      </w:r>
    </w:p>
    <w:p w14:paraId="03BB6448" w14:textId="77777777" w:rsidR="00ED1A27" w:rsidRDefault="006A493A">
      <w:pPr>
        <w:pStyle w:val="a5"/>
        <w:numPr>
          <w:ilvl w:val="0"/>
          <w:numId w:val="7"/>
        </w:numPr>
        <w:spacing w:line="360" w:lineRule="auto"/>
        <w:ind w:firstLineChars="0"/>
        <w:rPr>
          <w:rFonts w:ascii="宋体" w:hAnsi="宋体" w:cs="仿宋_GB2312"/>
          <w:b/>
          <w:bCs/>
          <w:sz w:val="24"/>
          <w:szCs w:val="24"/>
        </w:rPr>
      </w:pPr>
      <w:r>
        <w:rPr>
          <w:rFonts w:ascii="宋体" w:hAnsi="宋体" w:cs="仿宋_GB2312" w:hint="eastAsia"/>
          <w:b/>
          <w:bCs/>
          <w:sz w:val="24"/>
          <w:szCs w:val="24"/>
        </w:rPr>
        <w:t>数据质控</w:t>
      </w:r>
    </w:p>
    <w:p w14:paraId="64B185CA"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sz w:val="24"/>
          <w:szCs w:val="24"/>
        </w:rPr>
        <w:t>数据集成建设初期，通过调用复杂的存储过程，完成轻量的数据质控，可与ETL全过程串联，实现流程阻断。数据质控包括质控规则配置与质控结果呈现，并根据质控结果情况，支持进一步人工干预处理，解决数据集成阶段数据的准入性、业务数据与字典数据的一致性、字典映射关系的完整性校验。</w:t>
      </w:r>
    </w:p>
    <w:p w14:paraId="2D70F84E" w14:textId="77777777" w:rsidR="00ED1A27" w:rsidRDefault="006A493A">
      <w:pPr>
        <w:pStyle w:val="a5"/>
        <w:numPr>
          <w:ilvl w:val="0"/>
          <w:numId w:val="7"/>
        </w:numPr>
        <w:spacing w:line="360" w:lineRule="auto"/>
        <w:ind w:firstLineChars="0"/>
        <w:rPr>
          <w:rFonts w:ascii="宋体" w:hAnsi="宋体" w:cs="仿宋_GB2312"/>
          <w:b/>
          <w:bCs/>
          <w:sz w:val="24"/>
          <w:szCs w:val="24"/>
        </w:rPr>
      </w:pPr>
      <w:r>
        <w:rPr>
          <w:rFonts w:ascii="宋体" w:hAnsi="宋体" w:cs="仿宋_GB2312" w:hint="eastAsia"/>
          <w:b/>
          <w:bCs/>
          <w:sz w:val="24"/>
          <w:szCs w:val="24"/>
        </w:rPr>
        <w:t>数据处理</w:t>
      </w:r>
    </w:p>
    <w:p w14:paraId="20C46085"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sz w:val="24"/>
          <w:szCs w:val="24"/>
        </w:rPr>
        <w:t>通过技术处理手段，支持对数据颗粒度、统计口径等进行清洗、转换、标化等处理，实现数据标准化。数据处理包括中间表定义、自定义sql处理、存储过程调用以及对照字典管理功能。</w:t>
      </w:r>
    </w:p>
    <w:p w14:paraId="06F796DA" w14:textId="77777777" w:rsidR="00ED1A27" w:rsidRDefault="006A493A">
      <w:pPr>
        <w:pStyle w:val="a5"/>
        <w:numPr>
          <w:ilvl w:val="0"/>
          <w:numId w:val="7"/>
        </w:numPr>
        <w:spacing w:line="360" w:lineRule="auto"/>
        <w:ind w:firstLineChars="0"/>
        <w:rPr>
          <w:rFonts w:ascii="宋体" w:hAnsi="宋体" w:cs="仿宋_GB2312"/>
          <w:b/>
          <w:bCs/>
          <w:sz w:val="24"/>
          <w:szCs w:val="24"/>
        </w:rPr>
      </w:pPr>
      <w:r>
        <w:rPr>
          <w:rFonts w:ascii="宋体" w:hAnsi="宋体" w:cs="仿宋_GB2312" w:hint="eastAsia"/>
          <w:b/>
          <w:bCs/>
          <w:sz w:val="24"/>
          <w:szCs w:val="24"/>
        </w:rPr>
        <w:t>数据输出</w:t>
      </w:r>
    </w:p>
    <w:p w14:paraId="55FBF72D"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sz w:val="24"/>
          <w:szCs w:val="24"/>
        </w:rPr>
        <w:t>支持数据库输出及文件输出两种数据输出方式，以满足不同应用场景需求。数据库输出支持面向多种类型数据库，批量定时完成数据输出任务。文件输出支持多种类型文件类型的输出，也可通过定时任务定时批量完成。</w:t>
      </w:r>
    </w:p>
    <w:p w14:paraId="244BC0A5" w14:textId="77777777" w:rsidR="00ED1A27" w:rsidRDefault="006A493A">
      <w:pPr>
        <w:pStyle w:val="a5"/>
        <w:numPr>
          <w:ilvl w:val="0"/>
          <w:numId w:val="7"/>
        </w:numPr>
        <w:spacing w:line="360" w:lineRule="auto"/>
        <w:ind w:firstLineChars="0"/>
        <w:rPr>
          <w:rFonts w:ascii="宋体" w:hAnsi="宋体" w:cs="仿宋_GB2312"/>
          <w:b/>
          <w:bCs/>
          <w:sz w:val="24"/>
          <w:szCs w:val="24"/>
        </w:rPr>
      </w:pPr>
      <w:r>
        <w:rPr>
          <w:rFonts w:ascii="宋体" w:hAnsi="宋体" w:cs="仿宋_GB2312" w:hint="eastAsia"/>
          <w:b/>
          <w:bCs/>
          <w:sz w:val="24"/>
          <w:szCs w:val="24"/>
        </w:rPr>
        <w:t>执行监控</w:t>
      </w:r>
    </w:p>
    <w:p w14:paraId="1F59D0DC"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支持</w:t>
      </w:r>
      <w:r>
        <w:rPr>
          <w:rFonts w:ascii="宋体" w:hAnsi="宋体" w:cs="仿宋_GB2312"/>
          <w:sz w:val="24"/>
          <w:szCs w:val="24"/>
        </w:rPr>
        <w:t>定时任务管理、定时任务监控、系统监控、系统日志以及数据查询。定时任务管理，可实现数据采集、数据质控、数据处理、输出输出等任务的统一配置、调度与管理。自动定时任务包括定时器、定时任务两层套组，可满足定时任务并行、串行需求。自动定时任务监测，可监测任务执行状态，提供任务执行日志，定位数据问题，支持全链路监控，保障数据传输安全性</w:t>
      </w:r>
      <w:r>
        <w:rPr>
          <w:rFonts w:ascii="宋体" w:hAnsi="宋体" w:cs="仿宋_GB2312" w:hint="eastAsia"/>
          <w:sz w:val="24"/>
          <w:szCs w:val="24"/>
        </w:rPr>
        <w:t>。</w:t>
      </w:r>
    </w:p>
    <w:p w14:paraId="4EB1C75D" w14:textId="77777777" w:rsidR="00ED1A27" w:rsidRDefault="006A493A">
      <w:pPr>
        <w:pStyle w:val="a5"/>
        <w:numPr>
          <w:ilvl w:val="0"/>
          <w:numId w:val="7"/>
        </w:numPr>
        <w:spacing w:line="360" w:lineRule="auto"/>
        <w:ind w:firstLineChars="0"/>
        <w:rPr>
          <w:rFonts w:ascii="宋体" w:hAnsi="宋体" w:cs="仿宋_GB2312"/>
          <w:b/>
          <w:bCs/>
          <w:sz w:val="24"/>
          <w:szCs w:val="24"/>
        </w:rPr>
      </w:pPr>
      <w:r>
        <w:rPr>
          <w:rFonts w:ascii="宋体" w:hAnsi="宋体" w:cs="仿宋_GB2312" w:hint="eastAsia"/>
          <w:b/>
          <w:bCs/>
          <w:sz w:val="24"/>
          <w:szCs w:val="24"/>
        </w:rPr>
        <w:t>系统管理</w:t>
      </w:r>
    </w:p>
    <w:p w14:paraId="71B87218"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sz w:val="24"/>
          <w:szCs w:val="24"/>
        </w:rPr>
        <w:lastRenderedPageBreak/>
        <w:t>实现数据中心库的设定、用户单位权限的设定以及外部服务协同注册的设定，为集成平台运行提供安全环境基础。系统管理包括系统数据中心配置、单位数据权限及服务注册3个主要功能。</w:t>
      </w:r>
    </w:p>
    <w:p w14:paraId="618A1D3B" w14:textId="77777777" w:rsidR="00ED1A27" w:rsidRDefault="006A493A">
      <w:pPr>
        <w:pStyle w:val="2"/>
      </w:pPr>
      <w:r>
        <w:rPr>
          <w:rFonts w:hint="eastAsia"/>
        </w:rPr>
        <w:t>（二）技术要求</w:t>
      </w:r>
      <w:bookmarkStart w:id="4" w:name="_Toc11271"/>
      <w:bookmarkStart w:id="5" w:name="_Toc167892101"/>
    </w:p>
    <w:bookmarkEnd w:id="4"/>
    <w:bookmarkEnd w:id="5"/>
    <w:p w14:paraId="6892FF53"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医院</w:t>
      </w:r>
      <w:r>
        <w:rPr>
          <w:rFonts w:ascii="宋体" w:hAnsi="宋体" w:cs="仿宋_GB2312"/>
          <w:sz w:val="24"/>
          <w:szCs w:val="24"/>
        </w:rPr>
        <w:t>运营管理信息系统</w:t>
      </w:r>
      <w:r>
        <w:rPr>
          <w:rFonts w:ascii="宋体" w:hAnsi="宋体" w:cs="仿宋_GB2312" w:hint="eastAsia"/>
          <w:sz w:val="24"/>
          <w:szCs w:val="24"/>
        </w:rPr>
        <w:t>建设，从技术层面上需遵循如下的技术要求：</w:t>
      </w:r>
    </w:p>
    <w:p w14:paraId="6A59FC93"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1.系统采用B/S架构：系统各模块需采用同一技术架构，在统一的底层基础平台上进行设计。</w:t>
      </w:r>
    </w:p>
    <w:p w14:paraId="193B830C"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2.关键技术：根据医院运营管理一体化的需求和相关建设规范，考虑到系统运行的长远规划，以及整个系统的跨平台性、安全性、可靠性、稳定性、易维护性以及可扩展性，建议采用J2EE架构来设计。</w:t>
      </w:r>
    </w:p>
    <w:p w14:paraId="1B1F2F90"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3.先进性：系统要利用一些现行的、技术成熟的开发工具来辅助完成系统建设。</w:t>
      </w:r>
    </w:p>
    <w:p w14:paraId="167076BD"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4.稳定性：系统稳定可靠，保证每周7*24小时不间断正常运行，工作日期间不能宕机，年平均宕机时间应小于8小时。</w:t>
      </w:r>
    </w:p>
    <w:p w14:paraId="7387F8D0"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5.安全性：信息安全要体现在信息管理全过程：收集、录入、传输、储存、交流、查询、反馈、分析、利用、发布；系统的安全主要体现在整个系统的安全稳定和持续的运行。要对设施、技术和管理乃至整个运作体系，建立全面的安全保障体系，并能动态地根据安全检测、评估结果，调整安全策略，运用新的安全技术，进行持续改进，以控制新出现的安全隐患与风险。</w:t>
      </w:r>
    </w:p>
    <w:p w14:paraId="426140B1"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6.灵活性：建立灵活多样的多字段查询功能，为用户的组合查询、统计分析和信息利用提供方便；设计多种数据导出格式，如 Excel 和 XML格式，满足不同用户的数据分析输出需要；建立合理、多样、灵活的数据采集方式，满足不同发展水平的医疗单位的需要。</w:t>
      </w:r>
    </w:p>
    <w:p w14:paraId="27FBAD54"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7.延展性：数据库结构的设计应充分考虑发展和移植的需要，建立系统良好的扩展性和伸缩性，适度冗余也是系统建设的必要环节。</w:t>
      </w:r>
    </w:p>
    <w:p w14:paraId="7D353FFC"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8.完整性 ：在数据的采集和数据交换环节要确保数据的完整性。</w:t>
      </w:r>
    </w:p>
    <w:p w14:paraId="7EE4A9E5" w14:textId="70DE16E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9.友好性：人机界面设计简洁美观、风格统一，利于基层业务人员简单操作。</w:t>
      </w:r>
    </w:p>
    <w:p w14:paraId="132183D9" w14:textId="05906F9E" w:rsidR="00BF6A6A" w:rsidRDefault="00BF6A6A">
      <w:pPr>
        <w:spacing w:line="360" w:lineRule="auto"/>
        <w:ind w:firstLineChars="200" w:firstLine="480"/>
        <w:rPr>
          <w:rFonts w:ascii="宋体" w:hAnsi="宋体" w:cs="仿宋_GB2312"/>
          <w:sz w:val="24"/>
          <w:szCs w:val="24"/>
        </w:rPr>
      </w:pPr>
      <w:r>
        <w:rPr>
          <w:rFonts w:ascii="宋体" w:hAnsi="宋体" w:cs="仿宋_GB2312" w:hint="eastAsia"/>
          <w:sz w:val="24"/>
          <w:szCs w:val="24"/>
        </w:rPr>
        <w:t>1</w:t>
      </w:r>
      <w:r>
        <w:rPr>
          <w:rFonts w:ascii="宋体" w:hAnsi="宋体" w:cs="仿宋_GB2312"/>
          <w:sz w:val="24"/>
          <w:szCs w:val="24"/>
        </w:rPr>
        <w:t>0.</w:t>
      </w:r>
      <w:r w:rsidRPr="00BF6A6A">
        <w:rPr>
          <w:rFonts w:ascii="仿宋" w:eastAsia="仿宋" w:hAnsi="仿宋" w:hint="eastAsia"/>
        </w:rPr>
        <w:t xml:space="preserve"> </w:t>
      </w:r>
      <w:r w:rsidRPr="00BF6A6A">
        <w:rPr>
          <w:rFonts w:ascii="宋体" w:hAnsi="宋体" w:cs="仿宋_GB2312" w:hint="eastAsia"/>
          <w:sz w:val="24"/>
          <w:szCs w:val="24"/>
        </w:rPr>
        <w:t>优先适配院内现有TDSQL数据库</w:t>
      </w:r>
      <w:r>
        <w:rPr>
          <w:rFonts w:ascii="宋体" w:hAnsi="宋体" w:cs="仿宋_GB2312" w:hint="eastAsia"/>
          <w:sz w:val="24"/>
          <w:szCs w:val="24"/>
        </w:rPr>
        <w:t>。</w:t>
      </w:r>
    </w:p>
    <w:p w14:paraId="2556A011"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lastRenderedPageBreak/>
        <w:t>医院</w:t>
      </w:r>
      <w:r>
        <w:rPr>
          <w:rFonts w:ascii="宋体" w:hAnsi="宋体" w:cs="仿宋_GB2312"/>
          <w:sz w:val="24"/>
          <w:szCs w:val="24"/>
        </w:rPr>
        <w:t>运营管理信息系统</w:t>
      </w:r>
      <w:r>
        <w:rPr>
          <w:rFonts w:ascii="宋体" w:hAnsi="宋体" w:cs="仿宋_GB2312" w:hint="eastAsia"/>
          <w:sz w:val="24"/>
          <w:szCs w:val="24"/>
        </w:rPr>
        <w:t>建设，从数据安全管理层面上需遵循如下的要求：</w:t>
      </w:r>
    </w:p>
    <w:p w14:paraId="074778FB"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1.通过健康云医疗大数据安全保护能力评估认证。</w:t>
      </w:r>
    </w:p>
    <w:p w14:paraId="5BF8EFA0"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2.支持接口认证、数据源识别、数据类型识别。</w:t>
      </w:r>
    </w:p>
    <w:p w14:paraId="780DC109"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3.支持用户行为日志、系统资源异常使用记录、服务器监控、磁盘CPU监控。</w:t>
      </w:r>
    </w:p>
    <w:p w14:paraId="42B37666"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4.通过安全渗透测试认证。</w:t>
      </w:r>
    </w:p>
    <w:p w14:paraId="79D1F1E8"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5.通过网络安全等级保护测评认证。</w:t>
      </w:r>
    </w:p>
    <w:p w14:paraId="063A3CBB"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6.支持数据全生命周期管理，包括数据采集、数据传输、数据处理、数据使用等环节。</w:t>
      </w:r>
    </w:p>
    <w:p w14:paraId="033897B2"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7.支持登录用户身份标识与鉴别，异常登录识别后以图形、短信等方式验证。</w:t>
      </w:r>
    </w:p>
    <w:p w14:paraId="2D203F43"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8.支持弱口令校验及MD5+SALT密码服务。</w:t>
      </w:r>
    </w:p>
    <w:p w14:paraId="4927BEA4"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9.支持RSA加密传输。</w:t>
      </w:r>
    </w:p>
    <w:p w14:paraId="14C96722"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10.支持用户权限控制、角色权限控制、功能权限控制、数据权限控制。</w:t>
      </w:r>
    </w:p>
    <w:p w14:paraId="0D8636C1"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11.支持敏感信息脱敏，以及数据溯源。</w:t>
      </w:r>
    </w:p>
    <w:p w14:paraId="1DEEBE06"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12.支持数据分层存储。</w:t>
      </w:r>
    </w:p>
    <w:p w14:paraId="52B243F6" w14:textId="77777777" w:rsidR="00ED1A27" w:rsidRDefault="006A493A">
      <w:pPr>
        <w:pStyle w:val="2"/>
      </w:pPr>
      <w:r>
        <w:rPr>
          <w:rFonts w:hint="eastAsia"/>
        </w:rPr>
        <w:t>（三）接口要求</w:t>
      </w:r>
    </w:p>
    <w:p w14:paraId="01883678"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系统应保证与现行医院HIS系统、病案管理系统、DRG管理系统、财务管理系统、人力资源管理系统、药品采购供应链管理系统、耗材管理系统、科室成本系统、绩效系统等实现有效衔接，实现信息的共享和集成。支持跨平台和开放数据接口，按照医院要求进行源码级定制修改，能进行软件集成和系统整合。支持多数据源数据整理及运用，包括文件数据来源，用户数据来源及系统数据来源整理和运用。系统应保持好的扩展性，有利于逐步升级。</w:t>
      </w:r>
    </w:p>
    <w:p w14:paraId="6BE0928E" w14:textId="77777777" w:rsidR="00ED1A27" w:rsidRDefault="00ED1A27">
      <w:pPr>
        <w:ind w:firstLineChars="200" w:firstLine="420"/>
        <w:jc w:val="left"/>
        <w:rPr>
          <w:rFonts w:ascii="宋体" w:hAnsi="宋体" w:cs="宋体"/>
          <w:szCs w:val="21"/>
        </w:rPr>
      </w:pPr>
    </w:p>
    <w:p w14:paraId="6E815210" w14:textId="77777777" w:rsidR="00ED1A27" w:rsidRDefault="006A493A">
      <w:pPr>
        <w:pStyle w:val="1"/>
      </w:pPr>
      <w:r>
        <w:rPr>
          <w:rFonts w:hint="eastAsia"/>
        </w:rPr>
        <w:t>五、项目进度及团队人员要求</w:t>
      </w:r>
    </w:p>
    <w:p w14:paraId="1532D087"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（一）本项目实施工期4个月，按照管理需求紧迫性可分模块上线。</w:t>
      </w:r>
    </w:p>
    <w:p w14:paraId="1054C5DD"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（二）本项目团队配置不少于3人，团队成员应包括项目经理，咨询顾问，系统实施工程师。</w:t>
      </w:r>
      <w:r>
        <w:rPr>
          <w:rFonts w:ascii="宋体" w:hAnsi="宋体" w:hint="eastAsia"/>
          <w:sz w:val="24"/>
          <w:szCs w:val="24"/>
        </w:rPr>
        <w:t>整个项目进行期间供应商应利用多种措施保障项目人员的稳定</w:t>
      </w:r>
      <w:r>
        <w:rPr>
          <w:rFonts w:ascii="宋体" w:hAnsi="宋体" w:hint="eastAsia"/>
          <w:sz w:val="24"/>
          <w:szCs w:val="24"/>
        </w:rPr>
        <w:lastRenderedPageBreak/>
        <w:t>性。</w:t>
      </w:r>
    </w:p>
    <w:p w14:paraId="021571D6" w14:textId="77777777" w:rsidR="00ED1A27" w:rsidRDefault="006A493A">
      <w:pPr>
        <w:pStyle w:val="1"/>
      </w:pPr>
      <w:r>
        <w:rPr>
          <w:rFonts w:hint="eastAsia"/>
        </w:rPr>
        <w:t>六、其他服务要求</w:t>
      </w:r>
    </w:p>
    <w:p w14:paraId="089A823C" w14:textId="77777777" w:rsidR="00ED1A27" w:rsidRDefault="006A493A">
      <w:pPr>
        <w:pStyle w:val="2"/>
      </w:pPr>
      <w:r>
        <w:rPr>
          <w:rFonts w:hint="eastAsia"/>
        </w:rPr>
        <w:t>（一）售后服务要求</w:t>
      </w:r>
    </w:p>
    <w:p w14:paraId="626DE73F"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1.供应商需提供不少于一年的原厂免费质保，必须出示原厂的售后服务承诺书；质保期从系统验收通过之日起计算；质保期内免上门费、维修费和系统升级费等。</w:t>
      </w:r>
    </w:p>
    <w:p w14:paraId="2D4D4D1B"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2.质保期内，供应商需保证7*24小时的服务响应，响应时间不得低于如下标准：接到院方的通知后2小时内必须做出明确的响应和安排；需提供现场服务的，服务团队须在4小时内到达故障现场；6小时内做出故障诊断报告，常规故障8小时内必须解决。</w:t>
      </w:r>
    </w:p>
    <w:p w14:paraId="237D41A6"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3.供应商还需对质保期满后服务内容、服务方式及收费标准进行说明。</w:t>
      </w:r>
    </w:p>
    <w:p w14:paraId="4B7D74D5" w14:textId="77777777" w:rsidR="00ED1A27" w:rsidRDefault="006A493A">
      <w:pPr>
        <w:pStyle w:val="2"/>
      </w:pPr>
      <w:r>
        <w:rPr>
          <w:rFonts w:hint="eastAsia"/>
        </w:rPr>
        <w:t>（二）培训要求</w:t>
      </w:r>
    </w:p>
    <w:p w14:paraId="755B352D"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1.培训对象:集中培训对象主要为运营管理成员、临床科主任及科室运营助理，系统应用中的系统管理人员、系统操作人员及其他有需要参加培训的对象。</w:t>
      </w:r>
    </w:p>
    <w:p w14:paraId="26536353"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2.培训内容</w:t>
      </w:r>
    </w:p>
    <w:p w14:paraId="0CB410CF"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为了让用户单位人员更好地对系统进行管理和维护，单位需对相关技术人员和管理专家进行全面的培训，使之在各个层次上掌握应用软件系统的操作、系统配置、故障处理及日常测试维护，从而确保全网能正常安全的运行。</w:t>
      </w:r>
    </w:p>
    <w:p w14:paraId="4A05B964"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提供下列几个方面的培训：</w:t>
      </w:r>
    </w:p>
    <w:p w14:paraId="79FA716E"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（1）系统软件的用户使用培训，应用软件操作培训；</w:t>
      </w:r>
    </w:p>
    <w:p w14:paraId="3C2C2C60"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（2）系统管理培训、甲方技术人员开发维护培训；</w:t>
      </w:r>
    </w:p>
    <w:p w14:paraId="090F4FA4"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（3）应用软件操作疑难问题解答；</w:t>
      </w:r>
    </w:p>
    <w:p w14:paraId="763D0991"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3.培训方式：根据项目实际情况，综合采用现场培训、远程视频培训，并且提供运营管理系统操作手册等项目文档。</w:t>
      </w:r>
    </w:p>
    <w:p w14:paraId="18DADA26" w14:textId="77777777" w:rsidR="00ED1A27" w:rsidRDefault="00ED1A27">
      <w:pPr>
        <w:spacing w:line="360" w:lineRule="auto"/>
        <w:ind w:firstLineChars="200" w:firstLine="480"/>
        <w:rPr>
          <w:rFonts w:ascii="宋体" w:hAnsi="宋体" w:cs="仿宋_GB2312"/>
          <w:sz w:val="24"/>
          <w:szCs w:val="24"/>
        </w:rPr>
      </w:pPr>
    </w:p>
    <w:p w14:paraId="25937036" w14:textId="77777777" w:rsidR="00ED1A27" w:rsidRDefault="006A493A">
      <w:pPr>
        <w:pStyle w:val="2"/>
      </w:pPr>
      <w:r>
        <w:rPr>
          <w:rFonts w:hint="eastAsia"/>
        </w:rPr>
        <w:lastRenderedPageBreak/>
        <w:t>（三）验收标准</w:t>
      </w:r>
    </w:p>
    <w:p w14:paraId="6F482A94"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1.技术验收标准</w:t>
      </w:r>
    </w:p>
    <w:p w14:paraId="3A7BA0E3"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采购标的应满足招标文件中提出的所有功能需求。</w:t>
      </w:r>
    </w:p>
    <w:p w14:paraId="2D46961B"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2.项目实施验收标准</w:t>
      </w:r>
    </w:p>
    <w:p w14:paraId="0B034448"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（1）供货和安装：采购标的应在合同约定的时间内完成供货、安装和调试工作，确保系统能够正常运行。</w:t>
      </w:r>
    </w:p>
    <w:p w14:paraId="59E47E4E" w14:textId="77777777" w:rsidR="00ED1A27" w:rsidRDefault="006A493A">
      <w:pPr>
        <w:spacing w:line="360" w:lineRule="auto"/>
        <w:ind w:firstLineChars="200" w:firstLine="480"/>
        <w:rPr>
          <w:rFonts w:ascii="宋体" w:hAnsi="宋体" w:cs="仿宋_GB2312"/>
          <w:sz w:val="24"/>
          <w:szCs w:val="24"/>
        </w:rPr>
      </w:pPr>
      <w:r>
        <w:rPr>
          <w:rFonts w:ascii="宋体" w:hAnsi="宋体" w:cs="仿宋_GB2312" w:hint="eastAsia"/>
          <w:sz w:val="24"/>
          <w:szCs w:val="24"/>
        </w:rPr>
        <w:t>（2）项目文档：供应商应提供完整的技术文档和操作手册，包括系统架构、功能说明、操作指南等。</w:t>
      </w:r>
    </w:p>
    <w:p w14:paraId="28CBBB62" w14:textId="77777777" w:rsidR="00ED1A27" w:rsidRDefault="00ED1A27">
      <w:pPr>
        <w:spacing w:line="360" w:lineRule="auto"/>
        <w:ind w:firstLineChars="200" w:firstLine="480"/>
        <w:rPr>
          <w:rFonts w:ascii="宋体" w:hAnsi="宋体" w:cs="仿宋_GB2312"/>
          <w:sz w:val="24"/>
          <w:szCs w:val="24"/>
        </w:rPr>
      </w:pPr>
    </w:p>
    <w:sectPr w:rsidR="00ED1A2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270815" w14:textId="77777777" w:rsidR="00466547" w:rsidRDefault="00466547" w:rsidP="00BF6A6A">
      <w:r>
        <w:separator/>
      </w:r>
    </w:p>
  </w:endnote>
  <w:endnote w:type="continuationSeparator" w:id="0">
    <w:p w14:paraId="433EA4CB" w14:textId="77777777" w:rsidR="00466547" w:rsidRDefault="00466547" w:rsidP="00BF6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AA36F1" w14:textId="77777777" w:rsidR="00466547" w:rsidRDefault="00466547" w:rsidP="00BF6A6A">
      <w:r>
        <w:separator/>
      </w:r>
    </w:p>
  </w:footnote>
  <w:footnote w:type="continuationSeparator" w:id="0">
    <w:p w14:paraId="57B9810C" w14:textId="77777777" w:rsidR="00466547" w:rsidRDefault="00466547" w:rsidP="00BF6A6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12E6696"/>
    <w:multiLevelType w:val="singleLevel"/>
    <w:tmpl w:val="A12E6696"/>
    <w:lvl w:ilvl="0">
      <w:start w:val="1"/>
      <w:numFmt w:val="decimal"/>
      <w:lvlText w:val="%1."/>
      <w:lvlJc w:val="left"/>
      <w:pPr>
        <w:ind w:left="425" w:hanging="425"/>
      </w:pPr>
      <w:rPr>
        <w:rFonts w:hint="default"/>
      </w:rPr>
    </w:lvl>
  </w:abstractNum>
  <w:abstractNum w:abstractNumId="1" w15:restartNumberingAfterBreak="0">
    <w:nsid w:val="F2F56FBC"/>
    <w:multiLevelType w:val="singleLevel"/>
    <w:tmpl w:val="F2F56FBC"/>
    <w:lvl w:ilvl="0">
      <w:start w:val="1"/>
      <w:numFmt w:val="decimal"/>
      <w:lvlText w:val="%1."/>
      <w:lvlJc w:val="left"/>
      <w:pPr>
        <w:ind w:left="425" w:hanging="425"/>
      </w:pPr>
      <w:rPr>
        <w:rFonts w:hint="default"/>
      </w:rPr>
    </w:lvl>
  </w:abstractNum>
  <w:abstractNum w:abstractNumId="2" w15:restartNumberingAfterBreak="0">
    <w:nsid w:val="46137EDD"/>
    <w:multiLevelType w:val="multilevel"/>
    <w:tmpl w:val="46137EDD"/>
    <w:lvl w:ilvl="0">
      <w:start w:val="1"/>
      <w:numFmt w:val="chineseCountingThousand"/>
      <w:lvlText w:val="第%1章"/>
      <w:lvlJc w:val="left"/>
      <w:pPr>
        <w:tabs>
          <w:tab w:val="left" w:pos="432"/>
        </w:tabs>
        <w:ind w:left="432" w:hanging="432"/>
      </w:pPr>
      <w:rPr>
        <w:rFonts w:hint="eastAsia"/>
      </w:rPr>
    </w:lvl>
    <w:lvl w:ilvl="1">
      <w:start w:val="1"/>
      <w:numFmt w:val="decimal"/>
      <w:isLgl/>
      <w:lvlText w:val="%1.%2"/>
      <w:lvlJc w:val="left"/>
      <w:pPr>
        <w:tabs>
          <w:tab w:val="left" w:pos="576"/>
        </w:tabs>
        <w:ind w:left="576" w:hanging="576"/>
      </w:pPr>
      <w:rPr>
        <w:rFonts w:hint="eastAsia"/>
      </w:rPr>
    </w:lvl>
    <w:lvl w:ilvl="2">
      <w:start w:val="1"/>
      <w:numFmt w:val="decimal"/>
      <w:pStyle w:val="3"/>
      <w:isLgl/>
      <w:lvlText w:val="%1.%2.%3"/>
      <w:lvlJc w:val="left"/>
      <w:pPr>
        <w:tabs>
          <w:tab w:val="left" w:pos="720"/>
        </w:tabs>
        <w:ind w:left="720" w:hanging="720"/>
      </w:pPr>
      <w:rPr>
        <w:rFonts w:hint="eastAsia"/>
        <w:b w:val="0"/>
      </w:rPr>
    </w:lvl>
    <w:lvl w:ilvl="3">
      <w:start w:val="1"/>
      <w:numFmt w:val="decimal"/>
      <w:isLgl/>
      <w:lvlText w:val="%1.%2.%3.%4"/>
      <w:lvlJc w:val="left"/>
      <w:pPr>
        <w:tabs>
          <w:tab w:val="left" w:pos="8378"/>
        </w:tabs>
        <w:ind w:left="284" w:firstLine="0"/>
      </w:pPr>
      <w:rPr>
        <w:rFonts w:ascii="宋体" w:eastAsia="宋体" w:hAnsi="宋体" w:hint="eastAsia"/>
        <w:b w:val="0"/>
      </w:rPr>
    </w:lvl>
    <w:lvl w:ilvl="4">
      <w:start w:val="1"/>
      <w:numFmt w:val="decimal"/>
      <w:isLgl/>
      <w:lvlText w:val="%1.%2.%3.%4.%5"/>
      <w:lvlJc w:val="left"/>
      <w:pPr>
        <w:tabs>
          <w:tab w:val="left" w:pos="1008"/>
        </w:tabs>
        <w:ind w:left="1008" w:hanging="1008"/>
      </w:pPr>
      <w:rPr>
        <w:rFonts w:hint="eastAsia"/>
        <w:sz w:val="28"/>
      </w:rPr>
    </w:lvl>
    <w:lvl w:ilvl="5">
      <w:start w:val="1"/>
      <w:numFmt w:val="decimal"/>
      <w:lvlText w:val="%6."/>
      <w:lvlJc w:val="left"/>
      <w:pPr>
        <w:tabs>
          <w:tab w:val="left" w:pos="1152"/>
        </w:tabs>
        <w:ind w:left="1152" w:hanging="1152"/>
      </w:pPr>
      <w:rPr>
        <w:rFonts w:hint="eastAsia"/>
      </w:rPr>
    </w:lvl>
    <w:lvl w:ilvl="6">
      <w:start w:val="1"/>
      <w:numFmt w:val="decimal"/>
      <w:isLgl/>
      <w:lvlText w:val="%1.%2.%3.%4.%5.%6.%7"/>
      <w:lvlJc w:val="left"/>
      <w:pPr>
        <w:tabs>
          <w:tab w:val="left" w:pos="1296"/>
        </w:tabs>
        <w:ind w:left="1296" w:hanging="1296"/>
      </w:pPr>
      <w:rPr>
        <w:rFonts w:hint="eastAsia"/>
      </w:rPr>
    </w:lvl>
    <w:lvl w:ilvl="7">
      <w:start w:val="1"/>
      <w:numFmt w:val="decimal"/>
      <w:isLgl/>
      <w:lvlText w:val="%1.%2.%3.%4.%5.%6.%7.%8"/>
      <w:lvlJc w:val="left"/>
      <w:pPr>
        <w:tabs>
          <w:tab w:val="left" w:pos="1440"/>
        </w:tabs>
        <w:ind w:left="1440" w:hanging="1440"/>
      </w:pPr>
      <w:rPr>
        <w:rFonts w:hint="eastAsia"/>
      </w:rPr>
    </w:lvl>
    <w:lvl w:ilvl="8">
      <w:start w:val="1"/>
      <w:numFmt w:val="decimal"/>
      <w:isLgl/>
      <w:lvlText w:val="%1.%2.%3.%4.%5.%6.%7.%8.%9"/>
      <w:lvlJc w:val="left"/>
      <w:pPr>
        <w:tabs>
          <w:tab w:val="left" w:pos="1584"/>
        </w:tabs>
        <w:ind w:left="1584" w:hanging="1584"/>
      </w:pPr>
      <w:rPr>
        <w:rFonts w:hint="eastAsia"/>
      </w:rPr>
    </w:lvl>
  </w:abstractNum>
  <w:abstractNum w:abstractNumId="3" w15:restartNumberingAfterBreak="0">
    <w:nsid w:val="5254F11E"/>
    <w:multiLevelType w:val="singleLevel"/>
    <w:tmpl w:val="5254F11E"/>
    <w:lvl w:ilvl="0">
      <w:start w:val="2"/>
      <w:numFmt w:val="chineseCounting"/>
      <w:suff w:val="nothing"/>
      <w:lvlText w:val="%1、"/>
      <w:lvlJc w:val="left"/>
      <w:rPr>
        <w:rFonts w:hint="eastAsia"/>
      </w:rPr>
    </w:lvl>
  </w:abstractNum>
  <w:abstractNum w:abstractNumId="4" w15:restartNumberingAfterBreak="0">
    <w:nsid w:val="5DFB2947"/>
    <w:multiLevelType w:val="multilevel"/>
    <w:tmpl w:val="5DFB2947"/>
    <w:lvl w:ilvl="0">
      <w:start w:val="1"/>
      <w:numFmt w:val="decimal"/>
      <w:lvlText w:val="%1）"/>
      <w:lvlJc w:val="left"/>
      <w:pPr>
        <w:ind w:left="840" w:hanging="360"/>
      </w:pPr>
      <w:rPr>
        <w:rFonts w:hint="default"/>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5" w15:restartNumberingAfterBreak="0">
    <w:nsid w:val="6194726D"/>
    <w:multiLevelType w:val="singleLevel"/>
    <w:tmpl w:val="6194726D"/>
    <w:lvl w:ilvl="0">
      <w:start w:val="1"/>
      <w:numFmt w:val="decimal"/>
      <w:lvlText w:val="%1."/>
      <w:lvlJc w:val="left"/>
      <w:pPr>
        <w:ind w:left="425" w:hanging="425"/>
      </w:pPr>
      <w:rPr>
        <w:rFonts w:hint="default"/>
      </w:rPr>
    </w:lvl>
  </w:abstractNum>
  <w:abstractNum w:abstractNumId="6" w15:restartNumberingAfterBreak="0">
    <w:nsid w:val="68E27D60"/>
    <w:multiLevelType w:val="multilevel"/>
    <w:tmpl w:val="68E27D60"/>
    <w:lvl w:ilvl="0">
      <w:start w:val="1"/>
      <w:numFmt w:val="decimal"/>
      <w:lvlText w:val="%1）"/>
      <w:lvlJc w:val="left"/>
      <w:pPr>
        <w:ind w:left="840" w:hanging="360"/>
      </w:pPr>
      <w:rPr>
        <w:rFonts w:hint="default"/>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num w:numId="1">
    <w:abstractNumId w:val="2"/>
  </w:num>
  <w:num w:numId="2">
    <w:abstractNumId w:val="3"/>
  </w:num>
  <w:num w:numId="3">
    <w:abstractNumId w:val="5"/>
  </w:num>
  <w:num w:numId="4">
    <w:abstractNumId w:val="1"/>
  </w:num>
  <w:num w:numId="5">
    <w:abstractNumId w:val="0"/>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76124B"/>
    <w:rsid w:val="000661BE"/>
    <w:rsid w:val="0009565B"/>
    <w:rsid w:val="00145FD6"/>
    <w:rsid w:val="00166E1B"/>
    <w:rsid w:val="002878AC"/>
    <w:rsid w:val="0030346F"/>
    <w:rsid w:val="004119CC"/>
    <w:rsid w:val="00466547"/>
    <w:rsid w:val="00573F4E"/>
    <w:rsid w:val="005D6BDC"/>
    <w:rsid w:val="005F27F7"/>
    <w:rsid w:val="00641A2F"/>
    <w:rsid w:val="00657C94"/>
    <w:rsid w:val="006709AD"/>
    <w:rsid w:val="006A493A"/>
    <w:rsid w:val="006E78FD"/>
    <w:rsid w:val="00877F6A"/>
    <w:rsid w:val="00A31874"/>
    <w:rsid w:val="00A40812"/>
    <w:rsid w:val="00A84017"/>
    <w:rsid w:val="00AA2A59"/>
    <w:rsid w:val="00BF6A6A"/>
    <w:rsid w:val="00C03BDD"/>
    <w:rsid w:val="00DF7D87"/>
    <w:rsid w:val="00ED1A27"/>
    <w:rsid w:val="00EE0EFF"/>
    <w:rsid w:val="15B65C6E"/>
    <w:rsid w:val="21847F19"/>
    <w:rsid w:val="225B49EE"/>
    <w:rsid w:val="2795721C"/>
    <w:rsid w:val="38683669"/>
    <w:rsid w:val="3BD66AE9"/>
    <w:rsid w:val="3C97266F"/>
    <w:rsid w:val="44137800"/>
    <w:rsid w:val="457D7297"/>
    <w:rsid w:val="4B4E6E91"/>
    <w:rsid w:val="55CC3E3C"/>
    <w:rsid w:val="57B4789F"/>
    <w:rsid w:val="78106988"/>
    <w:rsid w:val="7A0D5743"/>
    <w:rsid w:val="7A76124B"/>
    <w:rsid w:val="7ED14F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A9EC40"/>
  <w15:docId w15:val="{CC4EF1B1-6471-4FEE-A15B-F2F2974F6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uiPriority w:val="9"/>
    <w:qFormat/>
    <w:pPr>
      <w:keepNext/>
      <w:keepLines/>
      <w:numPr>
        <w:ilvl w:val="2"/>
        <w:numId w:val="1"/>
      </w:numPr>
      <w:tabs>
        <w:tab w:val="left" w:pos="432"/>
      </w:tabs>
      <w:spacing w:before="260" w:after="260" w:line="416" w:lineRule="auto"/>
      <w:outlineLvl w:val="2"/>
    </w:pPr>
    <w:rPr>
      <w:b/>
      <w:bCs/>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kern w:val="0"/>
      <w:sz w:val="24"/>
    </w:rPr>
  </w:style>
  <w:style w:type="character" w:styleId="a4">
    <w:name w:val="Strong"/>
    <w:basedOn w:val="a0"/>
    <w:qFormat/>
    <w:rPr>
      <w:b/>
    </w:rPr>
  </w:style>
  <w:style w:type="paragraph" w:styleId="a5">
    <w:name w:val="List Paragraph"/>
    <w:basedOn w:val="a"/>
    <w:uiPriority w:val="99"/>
    <w:unhideWhenUsed/>
    <w:qFormat/>
    <w:pPr>
      <w:ind w:firstLineChars="200" w:firstLine="420"/>
    </w:pPr>
  </w:style>
  <w:style w:type="paragraph" w:styleId="a6">
    <w:name w:val="header"/>
    <w:basedOn w:val="a"/>
    <w:link w:val="a7"/>
    <w:rsid w:val="00BF6A6A"/>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rsid w:val="00BF6A6A"/>
    <w:rPr>
      <w:kern w:val="2"/>
      <w:sz w:val="18"/>
      <w:szCs w:val="18"/>
    </w:rPr>
  </w:style>
  <w:style w:type="paragraph" w:styleId="a8">
    <w:name w:val="footer"/>
    <w:basedOn w:val="a"/>
    <w:link w:val="a9"/>
    <w:rsid w:val="00BF6A6A"/>
    <w:pPr>
      <w:tabs>
        <w:tab w:val="center" w:pos="4153"/>
        <w:tab w:val="right" w:pos="8306"/>
      </w:tabs>
      <w:snapToGrid w:val="0"/>
      <w:jc w:val="left"/>
    </w:pPr>
    <w:rPr>
      <w:sz w:val="18"/>
      <w:szCs w:val="18"/>
    </w:rPr>
  </w:style>
  <w:style w:type="character" w:customStyle="1" w:styleId="a9">
    <w:name w:val="页脚 字符"/>
    <w:basedOn w:val="a0"/>
    <w:link w:val="a8"/>
    <w:rsid w:val="00BF6A6A"/>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10</Pages>
  <Words>966</Words>
  <Characters>5508</Characters>
  <Application>Microsoft Office Word</Application>
  <DocSecurity>0</DocSecurity>
  <Lines>45</Lines>
  <Paragraphs>12</Paragraphs>
  <ScaleCrop>false</ScaleCrop>
  <Company/>
  <LinksUpToDate>false</LinksUpToDate>
  <CharactersWithSpaces>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夏沁芳</cp:lastModifiedBy>
  <cp:revision>17</cp:revision>
  <dcterms:created xsi:type="dcterms:W3CDTF">2026-06-10T03:52:00Z</dcterms:created>
  <dcterms:modified xsi:type="dcterms:W3CDTF">2026-10-26T02:07:00Z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D95B635CCF314881A20514836174CD52_13</vt:lpwstr>
  </property>
  <property fmtid="{D5CDD505-2E9C-101B-9397-08002B2CF9AE}" pid="4" name="KSOTemplateDocerSaveRecord">
    <vt:lpwstr>eyJoZGlkIjoiZDY4ZDRhMzExYmNhNjZiOThlNzgzZDhiYjQ5NTJhYzkiLCJ1c2VySWQiOiIzODYzNjc1NjkifQ==</vt:lpwstr>
  </property>
</Properties>
</file>