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514" w:rsidRDefault="009D03ED">
      <w:pPr>
        <w:jc w:val="center"/>
        <w:rPr>
          <w:rFonts w:ascii="黑体" w:eastAsia="黑体" w:hAnsi="黑体"/>
          <w:b/>
          <w:sz w:val="36"/>
          <w:lang w:eastAsia="zh-CN"/>
        </w:rPr>
      </w:pPr>
      <w:r>
        <w:rPr>
          <w:rFonts w:ascii="黑体" w:eastAsia="黑体" w:hAnsi="黑体"/>
          <w:b/>
          <w:sz w:val="36"/>
          <w:lang w:eastAsia="zh-CN"/>
        </w:rPr>
        <w:t>慢阻肺研究EDC系统及用药管理助手建设</w:t>
      </w:r>
      <w:r w:rsidR="00EC3E38">
        <w:rPr>
          <w:rFonts w:ascii="黑体" w:eastAsia="黑体" w:hAnsi="黑体" w:hint="eastAsia"/>
          <w:b/>
          <w:sz w:val="36"/>
          <w:lang w:eastAsia="zh-CN"/>
        </w:rPr>
        <w:t>项目</w:t>
      </w:r>
      <w:bookmarkStart w:id="0" w:name="_GoBack"/>
      <w:bookmarkEnd w:id="0"/>
      <w:r>
        <w:rPr>
          <w:rFonts w:ascii="黑体" w:eastAsia="黑体" w:hAnsi="黑体"/>
          <w:b/>
          <w:sz w:val="36"/>
          <w:lang w:eastAsia="zh-CN"/>
        </w:rPr>
        <w:t>需求</w:t>
      </w:r>
    </w:p>
    <w:p w:rsidR="004208D1" w:rsidRDefault="004208D1">
      <w:pPr>
        <w:jc w:val="center"/>
        <w:rPr>
          <w:lang w:eastAsia="zh-CN"/>
        </w:rPr>
      </w:pPr>
    </w:p>
    <w:p w:rsidR="004208D1" w:rsidRDefault="009D03ED">
      <w:pPr>
        <w:spacing w:before="200" w:after="120"/>
        <w:rPr>
          <w:lang w:eastAsia="zh-CN"/>
        </w:rPr>
      </w:pPr>
      <w:r>
        <w:rPr>
          <w:rFonts w:ascii="黑体" w:eastAsia="黑体" w:hAnsi="黑体"/>
          <w:b/>
          <w:sz w:val="28"/>
          <w:lang w:eastAsia="zh-CN"/>
        </w:rPr>
        <w:t>一、服务项目概述</w:t>
      </w:r>
    </w:p>
    <w:p w:rsidR="004208D1" w:rsidRDefault="009D03ED">
      <w:pPr>
        <w:spacing w:after="0" w:line="360" w:lineRule="auto"/>
        <w:ind w:firstLine="420"/>
        <w:rPr>
          <w:lang w:eastAsia="zh-CN"/>
        </w:rPr>
      </w:pPr>
      <w:r>
        <w:rPr>
          <w:lang w:eastAsia="zh-CN"/>
        </w:rPr>
        <w:t>本项目拟由同一承建单位一体化建设慢阻肺研究EDC系统及用药管理助手。其中，EDC系统主要用于课题组和研究者开展临床研究数据管理，承担受试者筛选建档、电子知情同意、基线采集、1至6月随访、脱落管理、统计质控和审计留痕等工作，形成符合CRF规范的结构化研究数据库。</w:t>
      </w:r>
    </w:p>
    <w:p w:rsidR="004208D1" w:rsidRDefault="009D03ED">
      <w:pPr>
        <w:spacing w:after="0" w:line="360" w:lineRule="auto"/>
        <w:ind w:firstLine="420"/>
        <w:rPr>
          <w:lang w:eastAsia="zh-CN"/>
        </w:rPr>
      </w:pPr>
      <w:r>
        <w:rPr>
          <w:lang w:eastAsia="zh-CN"/>
        </w:rPr>
        <w:t>用药管理助手主要用于患者端连续干预和随访配合管理，面向慢阻肺患者提供AI问答、用药教育、吸入技术指导、每日打卡、视频学习、知识问卷、康复进度展示和依从性提醒等服务，帮助患者在院外持续获得规范化用药指导，并将患者端行为数据回流至研究管理流程。</w:t>
      </w:r>
    </w:p>
    <w:p w:rsidR="004208D1" w:rsidRDefault="009D03ED">
      <w:pPr>
        <w:spacing w:after="0" w:line="360" w:lineRule="auto"/>
        <w:ind w:firstLine="420"/>
        <w:rPr>
          <w:lang w:eastAsia="zh-CN"/>
        </w:rPr>
      </w:pPr>
      <w:r>
        <w:rPr>
          <w:lang w:eastAsia="zh-CN"/>
        </w:rPr>
        <w:t>EDC系统和用药管理助手分别服务于研究者端和患者端，但两部分共享患者标识、随访节点和关键研究指标，能够形成研究数据采集、患者教育干预、依从性评价和随访质控的闭环。</w:t>
      </w:r>
    </w:p>
    <w:p w:rsidR="004208D1" w:rsidRDefault="009D03ED">
      <w:pPr>
        <w:spacing w:after="0" w:line="360" w:lineRule="auto"/>
        <w:ind w:firstLine="420"/>
        <w:rPr>
          <w:lang w:eastAsia="zh-CN"/>
        </w:rPr>
      </w:pPr>
      <w:r>
        <w:rPr>
          <w:lang w:eastAsia="zh-CN"/>
        </w:rPr>
        <w:t>根据项目申报书提出的“建立完全符合临床CRF规范的标准化EDC数据库”“研发集成个性化疾病教育、智能用药提醒、RAG问答及动态随访管理功能的人工智能管理终端”等目标，本项目不宜拆分为多个独立系统建设。若分散采购，容易造成数据口径不一致、接口改造成本高、患者端数据无法及时回流、后续AI分析缺少统一数据底座等问题。</w:t>
      </w:r>
    </w:p>
    <w:p w:rsidR="00FB46D7" w:rsidRDefault="00FB46D7" w:rsidP="00FB46D7">
      <w:pPr>
        <w:spacing w:after="0" w:line="360" w:lineRule="auto"/>
        <w:ind w:firstLine="420"/>
        <w:rPr>
          <w:lang w:eastAsia="zh-CN"/>
        </w:rPr>
      </w:pPr>
      <w:r>
        <w:rPr>
          <w:rFonts w:hint="eastAsia"/>
          <w:lang w:eastAsia="zh-CN"/>
        </w:rPr>
        <w:t>系统建设完成后，</w:t>
      </w:r>
      <w:r>
        <w:rPr>
          <w:lang w:eastAsia="zh-CN"/>
        </w:rPr>
        <w:t>EDC系统</w:t>
      </w:r>
      <w:r>
        <w:rPr>
          <w:rFonts w:hint="eastAsia"/>
          <w:lang w:eastAsia="zh-CN"/>
        </w:rPr>
        <w:t>将主要应用于：</w:t>
      </w:r>
    </w:p>
    <w:p w:rsidR="00FB46D7" w:rsidRDefault="00FB46D7" w:rsidP="00FB46D7">
      <w:pPr>
        <w:pStyle w:val="ae"/>
        <w:numPr>
          <w:ilvl w:val="0"/>
          <w:numId w:val="10"/>
        </w:numPr>
        <w:spacing w:after="0" w:line="360" w:lineRule="auto"/>
        <w:rPr>
          <w:lang w:eastAsia="zh-CN"/>
        </w:rPr>
      </w:pPr>
      <w:r>
        <w:rPr>
          <w:rFonts w:hint="eastAsia"/>
          <w:lang w:eastAsia="zh-CN"/>
        </w:rPr>
        <w:t xml:space="preserve">多中心临床研究数据采集 </w:t>
      </w:r>
    </w:p>
    <w:p w:rsidR="00FB46D7" w:rsidRDefault="00FB46D7" w:rsidP="00FB46D7">
      <w:pPr>
        <w:pStyle w:val="ae"/>
        <w:numPr>
          <w:ilvl w:val="0"/>
          <w:numId w:val="10"/>
        </w:numPr>
        <w:spacing w:after="0" w:line="360" w:lineRule="auto"/>
        <w:rPr>
          <w:lang w:eastAsia="zh-CN"/>
        </w:rPr>
      </w:pPr>
      <w:r>
        <w:rPr>
          <w:rFonts w:hint="eastAsia"/>
          <w:lang w:eastAsia="zh-CN"/>
        </w:rPr>
        <w:t>图片</w:t>
      </w:r>
      <w:r>
        <w:rPr>
          <w:lang w:eastAsia="zh-CN"/>
        </w:rPr>
        <w:t>/PDF文档识别与字段自动填充能力</w:t>
      </w:r>
    </w:p>
    <w:p w:rsidR="00FB46D7" w:rsidRDefault="00FB46D7" w:rsidP="00FB46D7">
      <w:pPr>
        <w:pStyle w:val="ae"/>
        <w:numPr>
          <w:ilvl w:val="0"/>
          <w:numId w:val="10"/>
        </w:numPr>
        <w:spacing w:after="0" w:line="360" w:lineRule="auto"/>
        <w:rPr>
          <w:lang w:eastAsia="zh-CN"/>
        </w:rPr>
      </w:pPr>
      <w:r>
        <w:rPr>
          <w:rFonts w:hint="eastAsia"/>
          <w:lang w:eastAsia="zh-CN"/>
        </w:rPr>
        <w:t>科研数据库自动化构建与更新</w:t>
      </w:r>
    </w:p>
    <w:p w:rsidR="00FB46D7" w:rsidRDefault="00FB46D7" w:rsidP="00FB46D7">
      <w:pPr>
        <w:pStyle w:val="ae"/>
        <w:numPr>
          <w:ilvl w:val="0"/>
          <w:numId w:val="10"/>
        </w:numPr>
        <w:spacing w:after="0" w:line="360" w:lineRule="auto"/>
        <w:rPr>
          <w:lang w:eastAsia="zh-CN"/>
        </w:rPr>
      </w:pPr>
      <w:r>
        <w:rPr>
          <w:rFonts w:hint="eastAsia"/>
          <w:lang w:eastAsia="zh-CN"/>
        </w:rPr>
        <w:t>进度看板、中心排名、质控状态查看及操作审计留痕</w:t>
      </w:r>
    </w:p>
    <w:p w:rsidR="00FB46D7" w:rsidRDefault="00FB46D7" w:rsidP="00FB46D7">
      <w:pPr>
        <w:spacing w:after="0" w:line="360" w:lineRule="auto"/>
        <w:ind w:left="420"/>
        <w:rPr>
          <w:lang w:eastAsia="zh-CN"/>
        </w:rPr>
      </w:pPr>
      <w:r>
        <w:rPr>
          <w:lang w:eastAsia="zh-CN"/>
        </w:rPr>
        <w:t>用药管理助手</w:t>
      </w:r>
      <w:r>
        <w:rPr>
          <w:rFonts w:hint="eastAsia"/>
          <w:lang w:eastAsia="zh-CN"/>
        </w:rPr>
        <w:t>将主要应用于：</w:t>
      </w:r>
    </w:p>
    <w:p w:rsidR="00FB46D7" w:rsidRDefault="00FB46D7" w:rsidP="00FB46D7">
      <w:pPr>
        <w:pStyle w:val="ae"/>
        <w:numPr>
          <w:ilvl w:val="0"/>
          <w:numId w:val="10"/>
        </w:numPr>
        <w:spacing w:after="0" w:line="360" w:lineRule="auto"/>
        <w:rPr>
          <w:lang w:eastAsia="zh-CN"/>
        </w:rPr>
      </w:pPr>
      <w:r>
        <w:rPr>
          <w:lang w:eastAsia="zh-CN"/>
        </w:rPr>
        <w:t>患者每日打卡、查看提醒、查看康复进度</w:t>
      </w:r>
    </w:p>
    <w:p w:rsidR="00FB46D7" w:rsidRDefault="00FB46D7" w:rsidP="00FB46D7">
      <w:pPr>
        <w:pStyle w:val="ae"/>
        <w:numPr>
          <w:ilvl w:val="0"/>
          <w:numId w:val="10"/>
        </w:numPr>
        <w:spacing w:after="0" w:line="360" w:lineRule="auto"/>
        <w:rPr>
          <w:lang w:eastAsia="zh-CN"/>
        </w:rPr>
      </w:pPr>
      <w:r>
        <w:rPr>
          <w:lang w:eastAsia="zh-CN"/>
        </w:rPr>
        <w:t>患者查看知情同意材料、风险教育视频</w:t>
      </w:r>
    </w:p>
    <w:p w:rsidR="00FB46D7" w:rsidRPr="00FB46D7" w:rsidRDefault="00FB46D7" w:rsidP="00FB46D7">
      <w:pPr>
        <w:pStyle w:val="ae"/>
        <w:numPr>
          <w:ilvl w:val="0"/>
          <w:numId w:val="10"/>
        </w:numPr>
        <w:spacing w:after="0" w:line="360" w:lineRule="auto"/>
        <w:rPr>
          <w:lang w:eastAsia="zh-CN"/>
        </w:rPr>
      </w:pPr>
      <w:r>
        <w:rPr>
          <w:lang w:eastAsia="zh-CN"/>
        </w:rPr>
        <w:t>接收提醒、咨询用药和康复问题、查看风险等级、获取宣教内容</w:t>
      </w:r>
    </w:p>
    <w:p w:rsidR="004208D1" w:rsidRDefault="009D03ED">
      <w:pPr>
        <w:spacing w:before="200" w:after="120"/>
        <w:rPr>
          <w:lang w:eastAsia="zh-CN"/>
        </w:rPr>
      </w:pPr>
      <w:r>
        <w:rPr>
          <w:rFonts w:ascii="黑体" w:eastAsia="黑体" w:hAnsi="黑体"/>
          <w:b/>
          <w:sz w:val="28"/>
          <w:lang w:eastAsia="zh-CN"/>
        </w:rPr>
        <w:lastRenderedPageBreak/>
        <w:t>二、服务需求分析</w:t>
      </w:r>
    </w:p>
    <w:p w:rsidR="004208D1" w:rsidRDefault="009D03ED">
      <w:pPr>
        <w:spacing w:before="120" w:after="120"/>
        <w:rPr>
          <w:lang w:eastAsia="zh-CN"/>
        </w:rPr>
      </w:pPr>
      <w:r>
        <w:rPr>
          <w:rFonts w:ascii="黑体" w:eastAsia="黑体" w:hAnsi="黑体"/>
          <w:b/>
          <w:lang w:eastAsia="zh-CN"/>
        </w:rPr>
        <w:t>1.服务内容</w:t>
      </w:r>
    </w:p>
    <w:p w:rsidR="00FB46D7" w:rsidRDefault="00FB46D7" w:rsidP="00FB46D7">
      <w:pPr>
        <w:spacing w:after="0" w:line="360" w:lineRule="auto"/>
        <w:ind w:firstLine="420"/>
        <w:rPr>
          <w:lang w:eastAsia="zh-CN"/>
        </w:rPr>
      </w:pPr>
      <w:r>
        <w:rPr>
          <w:lang w:eastAsia="zh-CN"/>
        </w:rPr>
        <w:t>承建单位需提供以下整体服务内容：</w:t>
      </w:r>
    </w:p>
    <w:p w:rsidR="00FB46D7" w:rsidRDefault="00FB46D7" w:rsidP="00FB46D7">
      <w:pPr>
        <w:spacing w:after="0" w:line="360" w:lineRule="auto"/>
        <w:ind w:firstLine="420"/>
        <w:rPr>
          <w:lang w:eastAsia="zh-CN"/>
        </w:rPr>
      </w:pPr>
      <w:r>
        <w:rPr>
          <w:lang w:eastAsia="zh-CN"/>
        </w:rPr>
        <w:t>完成EDC系统和患者端助手的统一需求梳理、原型设计、开发、部署、培训和运维支持；</w:t>
      </w:r>
    </w:p>
    <w:p w:rsidR="00FB46D7" w:rsidRDefault="00FB46D7" w:rsidP="00FB46D7">
      <w:pPr>
        <w:spacing w:after="0" w:line="360" w:lineRule="auto"/>
        <w:ind w:firstLine="420"/>
        <w:rPr>
          <w:lang w:eastAsia="zh-CN"/>
        </w:rPr>
      </w:pPr>
      <w:r>
        <w:rPr>
          <w:lang w:eastAsia="zh-CN"/>
        </w:rPr>
        <w:t>建设符合慢阻肺研究CRF的基线、随访、脱落、电子知情同意和数据质控模块；</w:t>
      </w:r>
    </w:p>
    <w:p w:rsidR="00FB46D7" w:rsidRDefault="00FB46D7" w:rsidP="00FB46D7">
      <w:pPr>
        <w:spacing w:after="0" w:line="360" w:lineRule="auto"/>
        <w:ind w:firstLine="420"/>
        <w:rPr>
          <w:lang w:eastAsia="zh-CN"/>
        </w:rPr>
      </w:pPr>
      <w:r>
        <w:rPr>
          <w:lang w:eastAsia="zh-CN"/>
        </w:rPr>
        <w:t>建设患者端AI问答、COPD-Q知识问卷、视频宣教、每日打卡、积分激励和康复进度反馈模块；</w:t>
      </w:r>
    </w:p>
    <w:p w:rsidR="00FB46D7" w:rsidRDefault="00FB46D7" w:rsidP="00FB46D7">
      <w:pPr>
        <w:spacing w:after="0" w:line="360" w:lineRule="auto"/>
        <w:ind w:firstLine="420"/>
        <w:rPr>
          <w:lang w:eastAsia="zh-CN"/>
        </w:rPr>
      </w:pPr>
      <w:r>
        <w:rPr>
          <w:lang w:eastAsia="zh-CN"/>
        </w:rPr>
        <w:t>建设RAG知识库、OCR/视觉识别、患者账号自动关联、数据统计和审计留痕能力；</w:t>
      </w:r>
    </w:p>
    <w:p w:rsidR="00FB46D7" w:rsidRDefault="00FB46D7" w:rsidP="00FB46D7">
      <w:pPr>
        <w:spacing w:after="0" w:line="360" w:lineRule="auto"/>
        <w:ind w:firstLine="420"/>
        <w:rPr>
          <w:lang w:eastAsia="zh-CN"/>
        </w:rPr>
      </w:pPr>
      <w:r>
        <w:rPr>
          <w:lang w:eastAsia="zh-CN"/>
        </w:rPr>
        <w:t>提供上线测试、权限配置、数据备份、安全加固、操作培训和后续需求迭代服务。</w:t>
      </w:r>
    </w:p>
    <w:p w:rsidR="004208D1" w:rsidRDefault="009D03ED" w:rsidP="00FB46D7">
      <w:pPr>
        <w:spacing w:after="0" w:line="360" w:lineRule="auto"/>
        <w:rPr>
          <w:lang w:eastAsia="zh-CN"/>
        </w:rPr>
      </w:pPr>
      <w:r>
        <w:rPr>
          <w:rFonts w:ascii="黑体" w:eastAsia="黑体" w:hAnsi="黑体"/>
          <w:b/>
          <w:lang w:eastAsia="zh-CN"/>
        </w:rPr>
        <w:t>2.网络功能需求</w:t>
      </w:r>
    </w:p>
    <w:p w:rsidR="004208D1" w:rsidRDefault="009D03ED">
      <w:pPr>
        <w:spacing w:after="0" w:line="360" w:lineRule="auto"/>
        <w:ind w:firstLine="420"/>
        <w:rPr>
          <w:lang w:eastAsia="zh-CN"/>
        </w:rPr>
      </w:pPr>
      <w:r>
        <w:rPr>
          <w:lang w:eastAsia="zh-CN"/>
        </w:rPr>
        <w:t>系统应采用浏览器访问和手机端H5/PWA相结合的方式。研究者通过授权电脑访问EDC工作台，患者通过手机访问用药管理助手，后台统一提供登录认证、会话管理、角色权限、中心数据隔离、患者账号绑定和接口安全控制。</w:t>
      </w:r>
    </w:p>
    <w:p w:rsidR="004208D1" w:rsidRDefault="009D03ED">
      <w:pPr>
        <w:spacing w:after="0" w:line="360" w:lineRule="auto"/>
        <w:ind w:firstLine="420"/>
        <w:rPr>
          <w:lang w:eastAsia="zh-CN"/>
        </w:rPr>
      </w:pPr>
      <w:r>
        <w:rPr>
          <w:lang w:eastAsia="zh-CN"/>
        </w:rPr>
        <w:t>系统应支持HTTPS加密传输、访问日志留存、接口调用鉴权、异常告警和数据备份。AI问答、OCR识别、视频播放等服务应与主业务解耦，在外部AI服务暂不可用时提供降级策略，保障EDC录入和患者端基础功能持续可用。</w:t>
      </w:r>
    </w:p>
    <w:p w:rsidR="004208D1" w:rsidRDefault="009D03ED">
      <w:pPr>
        <w:spacing w:before="120" w:after="120"/>
      </w:pPr>
      <w:r>
        <w:rPr>
          <w:rFonts w:ascii="黑体" w:eastAsia="黑体" w:hAnsi="黑体"/>
          <w:b/>
        </w:rPr>
        <w:t>3 服务所需软件功能</w:t>
      </w: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1933"/>
        <w:gridCol w:w="6589"/>
      </w:tblGrid>
      <w:tr w:rsidR="004208D1">
        <w:trPr>
          <w:jc w:val="center"/>
        </w:trPr>
        <w:tc>
          <w:tcPr>
            <w:tcW w:w="2041" w:type="dxa"/>
            <w:shd w:val="clear" w:color="auto" w:fill="D9EAF7"/>
            <w:vAlign w:val="center"/>
          </w:tcPr>
          <w:p w:rsidR="004208D1" w:rsidRDefault="009D03ED">
            <w:pPr>
              <w:spacing w:before="40" w:after="40"/>
              <w:jc w:val="center"/>
            </w:pPr>
            <w:r>
              <w:rPr>
                <w:b/>
                <w:sz w:val="21"/>
              </w:rPr>
              <w:t>系统模块</w:t>
            </w:r>
          </w:p>
        </w:tc>
        <w:tc>
          <w:tcPr>
            <w:tcW w:w="7030" w:type="dxa"/>
            <w:shd w:val="clear" w:color="auto" w:fill="D9EAF7"/>
            <w:vAlign w:val="center"/>
          </w:tcPr>
          <w:p w:rsidR="004208D1" w:rsidRDefault="009D03ED">
            <w:pPr>
              <w:spacing w:before="40" w:after="40"/>
              <w:jc w:val="center"/>
            </w:pPr>
            <w:r>
              <w:rPr>
                <w:b/>
                <w:sz w:val="21"/>
              </w:rPr>
              <w:t>功能需求</w:t>
            </w:r>
          </w:p>
        </w:tc>
      </w:tr>
      <w:tr w:rsidR="004208D1">
        <w:trPr>
          <w:jc w:val="center"/>
        </w:trPr>
        <w:tc>
          <w:tcPr>
            <w:tcW w:w="2041" w:type="dxa"/>
            <w:vAlign w:val="center"/>
          </w:tcPr>
          <w:p w:rsidR="004208D1" w:rsidRDefault="009D03ED">
            <w:pPr>
              <w:spacing w:before="40" w:after="40"/>
              <w:jc w:val="center"/>
            </w:pPr>
            <w:r>
              <w:rPr>
                <w:sz w:val="20"/>
              </w:rPr>
              <w:t>EDC受试者建档</w:t>
            </w:r>
          </w:p>
        </w:tc>
        <w:tc>
          <w:tcPr>
            <w:tcW w:w="7030" w:type="dxa"/>
            <w:vAlign w:val="center"/>
          </w:tcPr>
          <w:p w:rsidR="004208D1" w:rsidRDefault="009D03ED">
            <w:pPr>
              <w:spacing w:before="40" w:after="40"/>
              <w:rPr>
                <w:lang w:eastAsia="zh-CN"/>
              </w:rPr>
            </w:pPr>
            <w:r>
              <w:rPr>
                <w:sz w:val="20"/>
                <w:lang w:eastAsia="zh-CN"/>
              </w:rPr>
              <w:t>支持筛选号、随机号、研究中心、入排标准、基线信息、联系人和用药信息管理</w:t>
            </w:r>
          </w:p>
        </w:tc>
      </w:tr>
      <w:tr w:rsidR="004208D1">
        <w:trPr>
          <w:jc w:val="center"/>
        </w:trPr>
        <w:tc>
          <w:tcPr>
            <w:tcW w:w="2041" w:type="dxa"/>
            <w:vAlign w:val="center"/>
          </w:tcPr>
          <w:p w:rsidR="004208D1" w:rsidRDefault="009D03ED">
            <w:pPr>
              <w:spacing w:before="40" w:after="40"/>
              <w:jc w:val="center"/>
            </w:pPr>
            <w:r>
              <w:rPr>
                <w:sz w:val="20"/>
              </w:rPr>
              <w:t>电子知情同意</w:t>
            </w:r>
          </w:p>
        </w:tc>
        <w:tc>
          <w:tcPr>
            <w:tcW w:w="7030" w:type="dxa"/>
            <w:vAlign w:val="center"/>
          </w:tcPr>
          <w:p w:rsidR="004208D1" w:rsidRDefault="009D03ED">
            <w:pPr>
              <w:spacing w:before="40" w:after="40"/>
              <w:rPr>
                <w:lang w:eastAsia="zh-CN"/>
              </w:rPr>
            </w:pPr>
            <w:r>
              <w:rPr>
                <w:sz w:val="20"/>
                <w:lang w:eastAsia="zh-CN"/>
              </w:rPr>
              <w:t>支持电子签名、纸质签署材料上传、ICF版本记录、签署状态校验和打印入口</w:t>
            </w:r>
          </w:p>
        </w:tc>
      </w:tr>
      <w:tr w:rsidR="004208D1">
        <w:trPr>
          <w:jc w:val="center"/>
        </w:trPr>
        <w:tc>
          <w:tcPr>
            <w:tcW w:w="2041" w:type="dxa"/>
            <w:vAlign w:val="center"/>
          </w:tcPr>
          <w:p w:rsidR="004208D1" w:rsidRDefault="009D03ED">
            <w:pPr>
              <w:spacing w:before="40" w:after="40"/>
              <w:jc w:val="center"/>
            </w:pPr>
            <w:r>
              <w:rPr>
                <w:sz w:val="20"/>
              </w:rPr>
              <w:t>随访与量表</w:t>
            </w:r>
          </w:p>
        </w:tc>
        <w:tc>
          <w:tcPr>
            <w:tcW w:w="7030" w:type="dxa"/>
            <w:vAlign w:val="center"/>
          </w:tcPr>
          <w:p w:rsidR="004208D1" w:rsidRDefault="009D03ED">
            <w:pPr>
              <w:spacing w:before="40" w:after="40"/>
              <w:rPr>
                <w:lang w:eastAsia="zh-CN"/>
              </w:rPr>
            </w:pPr>
            <w:r>
              <w:rPr>
                <w:sz w:val="20"/>
                <w:lang w:eastAsia="zh-CN"/>
              </w:rPr>
              <w:t>支持1至6月随访，覆盖ARMS、CAT、EQ-5D-5L、COPD-Q、吸入技术和急性加重等指标</w:t>
            </w:r>
          </w:p>
        </w:tc>
      </w:tr>
      <w:tr w:rsidR="004208D1">
        <w:trPr>
          <w:jc w:val="center"/>
        </w:trPr>
        <w:tc>
          <w:tcPr>
            <w:tcW w:w="2041" w:type="dxa"/>
            <w:vAlign w:val="center"/>
          </w:tcPr>
          <w:p w:rsidR="004208D1" w:rsidRDefault="009D03ED">
            <w:pPr>
              <w:spacing w:before="40" w:after="40"/>
              <w:jc w:val="center"/>
            </w:pPr>
            <w:r>
              <w:rPr>
                <w:sz w:val="20"/>
              </w:rPr>
              <w:t>数据质控</w:t>
            </w:r>
          </w:p>
        </w:tc>
        <w:tc>
          <w:tcPr>
            <w:tcW w:w="7030" w:type="dxa"/>
            <w:vAlign w:val="center"/>
          </w:tcPr>
          <w:p w:rsidR="004208D1" w:rsidRDefault="009D03ED">
            <w:pPr>
              <w:spacing w:before="40" w:after="40"/>
              <w:rPr>
                <w:lang w:eastAsia="zh-CN"/>
              </w:rPr>
            </w:pPr>
            <w:r>
              <w:rPr>
                <w:sz w:val="20"/>
                <w:lang w:eastAsia="zh-CN"/>
              </w:rPr>
              <w:t>支持自动保存、操作审计、中心权限隔离、进度看板、质控状态和中心排名统计</w:t>
            </w:r>
          </w:p>
        </w:tc>
      </w:tr>
      <w:tr w:rsidR="004208D1">
        <w:trPr>
          <w:jc w:val="center"/>
        </w:trPr>
        <w:tc>
          <w:tcPr>
            <w:tcW w:w="2041" w:type="dxa"/>
            <w:vAlign w:val="center"/>
          </w:tcPr>
          <w:p w:rsidR="004208D1" w:rsidRDefault="009D03ED">
            <w:pPr>
              <w:spacing w:before="40" w:after="40"/>
              <w:jc w:val="center"/>
            </w:pPr>
            <w:r>
              <w:rPr>
                <w:sz w:val="20"/>
              </w:rPr>
              <w:t>患者端AI问答</w:t>
            </w:r>
          </w:p>
        </w:tc>
        <w:tc>
          <w:tcPr>
            <w:tcW w:w="7030" w:type="dxa"/>
            <w:vAlign w:val="center"/>
          </w:tcPr>
          <w:p w:rsidR="004208D1" w:rsidRDefault="009D03ED">
            <w:pPr>
              <w:spacing w:before="40" w:after="40"/>
              <w:rPr>
                <w:lang w:eastAsia="zh-CN"/>
              </w:rPr>
            </w:pPr>
            <w:r>
              <w:rPr>
                <w:sz w:val="20"/>
                <w:lang w:eastAsia="zh-CN"/>
              </w:rPr>
              <w:t>基于慢阻肺知识库和RAG技术回答用药、吸入技术、症状管理、复诊和风险提示问题</w:t>
            </w:r>
          </w:p>
        </w:tc>
      </w:tr>
      <w:tr w:rsidR="004208D1">
        <w:trPr>
          <w:jc w:val="center"/>
        </w:trPr>
        <w:tc>
          <w:tcPr>
            <w:tcW w:w="2041" w:type="dxa"/>
            <w:vAlign w:val="center"/>
          </w:tcPr>
          <w:p w:rsidR="004208D1" w:rsidRDefault="009D03ED">
            <w:pPr>
              <w:spacing w:before="40" w:after="40"/>
              <w:jc w:val="center"/>
            </w:pPr>
            <w:r>
              <w:rPr>
                <w:sz w:val="20"/>
              </w:rPr>
              <w:t>患者端干预</w:t>
            </w:r>
          </w:p>
        </w:tc>
        <w:tc>
          <w:tcPr>
            <w:tcW w:w="7030" w:type="dxa"/>
            <w:vAlign w:val="center"/>
          </w:tcPr>
          <w:p w:rsidR="004208D1" w:rsidRDefault="009D03ED">
            <w:pPr>
              <w:spacing w:before="40" w:after="40"/>
              <w:rPr>
                <w:lang w:eastAsia="zh-CN"/>
              </w:rPr>
            </w:pPr>
            <w:r>
              <w:rPr>
                <w:sz w:val="20"/>
                <w:lang w:eastAsia="zh-CN"/>
              </w:rPr>
              <w:t>支持每日打卡、连续天数、积分激励、视频学习、知识问卷和康复趋势</w:t>
            </w:r>
            <w:r>
              <w:rPr>
                <w:sz w:val="20"/>
                <w:lang w:eastAsia="zh-CN"/>
              </w:rPr>
              <w:lastRenderedPageBreak/>
              <w:t>反馈</w:t>
            </w:r>
          </w:p>
        </w:tc>
      </w:tr>
      <w:tr w:rsidR="004208D1">
        <w:trPr>
          <w:jc w:val="center"/>
        </w:trPr>
        <w:tc>
          <w:tcPr>
            <w:tcW w:w="2041" w:type="dxa"/>
            <w:vAlign w:val="center"/>
          </w:tcPr>
          <w:p w:rsidR="004208D1" w:rsidRDefault="009D03ED">
            <w:pPr>
              <w:spacing w:before="40" w:after="40"/>
              <w:jc w:val="center"/>
            </w:pPr>
            <w:r>
              <w:rPr>
                <w:sz w:val="20"/>
              </w:rPr>
              <w:lastRenderedPageBreak/>
              <w:t>AI辅助录入</w:t>
            </w:r>
          </w:p>
        </w:tc>
        <w:tc>
          <w:tcPr>
            <w:tcW w:w="7030" w:type="dxa"/>
            <w:vAlign w:val="center"/>
          </w:tcPr>
          <w:p w:rsidR="004208D1" w:rsidRDefault="009D03ED">
            <w:pPr>
              <w:spacing w:before="40" w:after="40"/>
              <w:rPr>
                <w:lang w:eastAsia="zh-CN"/>
              </w:rPr>
            </w:pPr>
            <w:r>
              <w:rPr>
                <w:sz w:val="20"/>
                <w:lang w:eastAsia="zh-CN"/>
              </w:rPr>
              <w:t>支持病历、处方、肺功能、吸入剂药瓶等图片/PDF识别并自动填充研究字段</w:t>
            </w:r>
          </w:p>
        </w:tc>
      </w:tr>
      <w:tr w:rsidR="004208D1">
        <w:trPr>
          <w:jc w:val="center"/>
        </w:trPr>
        <w:tc>
          <w:tcPr>
            <w:tcW w:w="2041" w:type="dxa"/>
            <w:vAlign w:val="center"/>
          </w:tcPr>
          <w:p w:rsidR="004208D1" w:rsidRDefault="009D03ED">
            <w:pPr>
              <w:spacing w:before="40" w:after="40"/>
              <w:jc w:val="center"/>
            </w:pPr>
            <w:r>
              <w:rPr>
                <w:sz w:val="20"/>
              </w:rPr>
              <w:t>系统集成</w:t>
            </w:r>
          </w:p>
        </w:tc>
        <w:tc>
          <w:tcPr>
            <w:tcW w:w="7030" w:type="dxa"/>
            <w:vAlign w:val="center"/>
          </w:tcPr>
          <w:p w:rsidR="004208D1" w:rsidRDefault="009D03ED">
            <w:pPr>
              <w:spacing w:before="40" w:after="40"/>
              <w:rPr>
                <w:lang w:eastAsia="zh-CN"/>
              </w:rPr>
            </w:pPr>
            <w:r>
              <w:rPr>
                <w:sz w:val="20"/>
                <w:lang w:eastAsia="zh-CN"/>
              </w:rPr>
              <w:t>患者端数据与EDC同源关联，预留HAPA分层干预、在线药师协同和后续模型分析接口</w:t>
            </w:r>
          </w:p>
        </w:tc>
      </w:tr>
    </w:tbl>
    <w:p w:rsidR="004208D1" w:rsidRDefault="009D03ED">
      <w:pPr>
        <w:spacing w:before="120" w:after="120"/>
      </w:pPr>
      <w:r>
        <w:rPr>
          <w:rFonts w:ascii="黑体" w:eastAsia="黑体" w:hAnsi="黑体"/>
          <w:b/>
        </w:rPr>
        <w:t>4. 服务所需提供硬件</w:t>
      </w: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1926"/>
        <w:gridCol w:w="6596"/>
      </w:tblGrid>
      <w:tr w:rsidR="004208D1">
        <w:trPr>
          <w:jc w:val="center"/>
        </w:trPr>
        <w:tc>
          <w:tcPr>
            <w:tcW w:w="2041" w:type="dxa"/>
            <w:shd w:val="clear" w:color="auto" w:fill="D9EAF7"/>
            <w:vAlign w:val="center"/>
          </w:tcPr>
          <w:p w:rsidR="004208D1" w:rsidRDefault="009D03ED">
            <w:pPr>
              <w:spacing w:before="40" w:after="40"/>
              <w:jc w:val="center"/>
            </w:pPr>
            <w:r>
              <w:rPr>
                <w:b/>
                <w:sz w:val="21"/>
              </w:rPr>
              <w:t>类别</w:t>
            </w:r>
          </w:p>
        </w:tc>
        <w:tc>
          <w:tcPr>
            <w:tcW w:w="7030" w:type="dxa"/>
            <w:shd w:val="clear" w:color="auto" w:fill="D9EAF7"/>
            <w:vAlign w:val="center"/>
          </w:tcPr>
          <w:p w:rsidR="004208D1" w:rsidRDefault="009D03ED">
            <w:pPr>
              <w:spacing w:before="40" w:after="40"/>
              <w:jc w:val="center"/>
            </w:pPr>
            <w:r>
              <w:rPr>
                <w:b/>
                <w:sz w:val="21"/>
              </w:rPr>
              <w:t>建议要求</w:t>
            </w:r>
          </w:p>
        </w:tc>
      </w:tr>
      <w:tr w:rsidR="004208D1">
        <w:trPr>
          <w:jc w:val="center"/>
        </w:trPr>
        <w:tc>
          <w:tcPr>
            <w:tcW w:w="2041" w:type="dxa"/>
            <w:vAlign w:val="center"/>
          </w:tcPr>
          <w:p w:rsidR="004208D1" w:rsidRDefault="009D03ED">
            <w:pPr>
              <w:spacing w:before="40" w:after="40"/>
              <w:jc w:val="center"/>
            </w:pPr>
            <w:r>
              <w:rPr>
                <w:sz w:val="20"/>
              </w:rPr>
              <w:t>服务器</w:t>
            </w:r>
          </w:p>
        </w:tc>
        <w:tc>
          <w:tcPr>
            <w:tcW w:w="7030" w:type="dxa"/>
            <w:vAlign w:val="center"/>
          </w:tcPr>
          <w:p w:rsidR="004208D1" w:rsidRDefault="009D03ED" w:rsidP="00DA4FDB">
            <w:pPr>
              <w:spacing w:before="40" w:after="40"/>
              <w:rPr>
                <w:lang w:eastAsia="zh-CN"/>
              </w:rPr>
            </w:pPr>
            <w:r>
              <w:rPr>
                <w:sz w:val="20"/>
                <w:lang w:eastAsia="zh-CN"/>
              </w:rPr>
              <w:t>建议</w:t>
            </w:r>
            <w:r w:rsidR="00DA4FDB">
              <w:rPr>
                <w:sz w:val="20"/>
                <w:lang w:eastAsia="zh-CN"/>
              </w:rPr>
              <w:t>2</w:t>
            </w:r>
            <w:r>
              <w:rPr>
                <w:sz w:val="20"/>
                <w:lang w:eastAsia="zh-CN"/>
              </w:rPr>
              <w:t>核CPU、1</w:t>
            </w:r>
            <w:r w:rsidR="00DA4FDB">
              <w:rPr>
                <w:sz w:val="20"/>
                <w:lang w:eastAsia="zh-CN"/>
              </w:rPr>
              <w:t>2</w:t>
            </w:r>
            <w:r>
              <w:rPr>
                <w:sz w:val="20"/>
                <w:lang w:eastAsia="zh-CN"/>
              </w:rPr>
              <w:t>GB内存、</w:t>
            </w:r>
            <w:r w:rsidR="00DA4FDB">
              <w:rPr>
                <w:sz w:val="20"/>
                <w:lang w:eastAsia="zh-CN"/>
              </w:rPr>
              <w:t>2</w:t>
            </w:r>
            <w:r>
              <w:rPr>
                <w:sz w:val="20"/>
                <w:lang w:eastAsia="zh-CN"/>
              </w:rPr>
              <w:t>00GB SSD起步；AI识别任务较多时可单独部署识别服务或扩容</w:t>
            </w:r>
          </w:p>
        </w:tc>
      </w:tr>
      <w:tr w:rsidR="004208D1">
        <w:trPr>
          <w:jc w:val="center"/>
        </w:trPr>
        <w:tc>
          <w:tcPr>
            <w:tcW w:w="2041" w:type="dxa"/>
            <w:vAlign w:val="center"/>
          </w:tcPr>
          <w:p w:rsidR="004208D1" w:rsidRDefault="009D03ED">
            <w:pPr>
              <w:spacing w:before="40" w:after="40"/>
              <w:jc w:val="center"/>
            </w:pPr>
            <w:r>
              <w:rPr>
                <w:sz w:val="20"/>
              </w:rPr>
              <w:t>存储</w:t>
            </w:r>
          </w:p>
        </w:tc>
        <w:tc>
          <w:tcPr>
            <w:tcW w:w="7030" w:type="dxa"/>
            <w:vAlign w:val="center"/>
          </w:tcPr>
          <w:p w:rsidR="004208D1" w:rsidRDefault="009D03ED">
            <w:pPr>
              <w:spacing w:before="40" w:after="40"/>
              <w:rPr>
                <w:lang w:eastAsia="zh-CN"/>
              </w:rPr>
            </w:pPr>
            <w:r>
              <w:rPr>
                <w:sz w:val="20"/>
                <w:lang w:eastAsia="zh-CN"/>
              </w:rPr>
              <w:t>支持数据库、知情同意附件、OCR图片、视频资源、聊天记录和打卡数据存储，具备定期备份</w:t>
            </w:r>
          </w:p>
        </w:tc>
      </w:tr>
      <w:tr w:rsidR="004208D1">
        <w:trPr>
          <w:jc w:val="center"/>
        </w:trPr>
        <w:tc>
          <w:tcPr>
            <w:tcW w:w="2041" w:type="dxa"/>
            <w:vAlign w:val="center"/>
          </w:tcPr>
          <w:p w:rsidR="004208D1" w:rsidRDefault="009D03ED">
            <w:pPr>
              <w:spacing w:before="40" w:after="40"/>
              <w:jc w:val="center"/>
            </w:pPr>
            <w:r>
              <w:rPr>
                <w:sz w:val="20"/>
              </w:rPr>
              <w:t>网络</w:t>
            </w:r>
          </w:p>
        </w:tc>
        <w:tc>
          <w:tcPr>
            <w:tcW w:w="7030" w:type="dxa"/>
            <w:vAlign w:val="center"/>
          </w:tcPr>
          <w:p w:rsidR="004208D1" w:rsidRDefault="009D03ED">
            <w:pPr>
              <w:spacing w:before="40" w:after="40"/>
              <w:rPr>
                <w:lang w:eastAsia="zh-CN"/>
              </w:rPr>
            </w:pPr>
            <w:r>
              <w:rPr>
                <w:sz w:val="20"/>
                <w:lang w:eastAsia="zh-CN"/>
              </w:rPr>
              <w:t>支持院内/公网安全访问、HTTPS证书、访问控制、日志留存和必要的防护策略</w:t>
            </w:r>
          </w:p>
        </w:tc>
      </w:tr>
      <w:tr w:rsidR="004208D1">
        <w:trPr>
          <w:jc w:val="center"/>
        </w:trPr>
        <w:tc>
          <w:tcPr>
            <w:tcW w:w="2041" w:type="dxa"/>
            <w:vAlign w:val="center"/>
          </w:tcPr>
          <w:p w:rsidR="004208D1" w:rsidRDefault="009D03ED">
            <w:pPr>
              <w:spacing w:before="40" w:after="40"/>
              <w:jc w:val="center"/>
            </w:pPr>
            <w:r>
              <w:rPr>
                <w:sz w:val="20"/>
              </w:rPr>
              <w:t>研究端</w:t>
            </w:r>
          </w:p>
        </w:tc>
        <w:tc>
          <w:tcPr>
            <w:tcW w:w="7030" w:type="dxa"/>
            <w:vAlign w:val="center"/>
          </w:tcPr>
          <w:p w:rsidR="004208D1" w:rsidRDefault="009D03ED">
            <w:pPr>
              <w:spacing w:before="40" w:after="40"/>
              <w:rPr>
                <w:lang w:eastAsia="zh-CN"/>
              </w:rPr>
            </w:pPr>
            <w:r>
              <w:rPr>
                <w:sz w:val="20"/>
                <w:lang w:eastAsia="zh-CN"/>
              </w:rPr>
              <w:t>研究者使用现有Windows电脑和主流浏览器即可，无需新增专用终端</w:t>
            </w:r>
          </w:p>
        </w:tc>
      </w:tr>
      <w:tr w:rsidR="004208D1">
        <w:trPr>
          <w:jc w:val="center"/>
        </w:trPr>
        <w:tc>
          <w:tcPr>
            <w:tcW w:w="2041" w:type="dxa"/>
            <w:vAlign w:val="center"/>
          </w:tcPr>
          <w:p w:rsidR="004208D1" w:rsidRDefault="009D03ED">
            <w:pPr>
              <w:spacing w:before="40" w:after="40"/>
              <w:jc w:val="center"/>
            </w:pPr>
            <w:r>
              <w:rPr>
                <w:sz w:val="20"/>
              </w:rPr>
              <w:t>患者端</w:t>
            </w:r>
          </w:p>
        </w:tc>
        <w:tc>
          <w:tcPr>
            <w:tcW w:w="7030" w:type="dxa"/>
            <w:vAlign w:val="center"/>
          </w:tcPr>
          <w:p w:rsidR="004208D1" w:rsidRDefault="009D03ED">
            <w:pPr>
              <w:spacing w:before="40" w:after="40"/>
              <w:rPr>
                <w:lang w:eastAsia="zh-CN"/>
              </w:rPr>
            </w:pPr>
            <w:r>
              <w:rPr>
                <w:sz w:val="20"/>
                <w:lang w:eastAsia="zh-CN"/>
              </w:rPr>
              <w:t>患者使用个人智能手机访问，无需采购额外硬件设备</w:t>
            </w:r>
          </w:p>
        </w:tc>
      </w:tr>
      <w:tr w:rsidR="004208D1">
        <w:trPr>
          <w:jc w:val="center"/>
        </w:trPr>
        <w:tc>
          <w:tcPr>
            <w:tcW w:w="2041" w:type="dxa"/>
            <w:vAlign w:val="center"/>
          </w:tcPr>
          <w:p w:rsidR="004208D1" w:rsidRDefault="009D03ED">
            <w:pPr>
              <w:spacing w:before="40" w:after="40"/>
              <w:jc w:val="center"/>
            </w:pPr>
            <w:r>
              <w:rPr>
                <w:sz w:val="20"/>
              </w:rPr>
              <w:t>运维</w:t>
            </w:r>
          </w:p>
        </w:tc>
        <w:tc>
          <w:tcPr>
            <w:tcW w:w="7030" w:type="dxa"/>
            <w:vAlign w:val="center"/>
          </w:tcPr>
          <w:p w:rsidR="004208D1" w:rsidRDefault="009D03ED">
            <w:pPr>
              <w:spacing w:before="40" w:after="40"/>
              <w:rPr>
                <w:lang w:eastAsia="zh-CN"/>
              </w:rPr>
            </w:pPr>
            <w:r>
              <w:rPr>
                <w:sz w:val="20"/>
                <w:lang w:eastAsia="zh-CN"/>
              </w:rPr>
              <w:t>提供监控、故障恢复、版本升级、备份检查和上线后问题响应机制</w:t>
            </w:r>
          </w:p>
        </w:tc>
      </w:tr>
    </w:tbl>
    <w:p w:rsidR="00FB46D7" w:rsidRDefault="00FB46D7">
      <w:pPr>
        <w:spacing w:before="200" w:after="120"/>
        <w:rPr>
          <w:rFonts w:ascii="黑体" w:eastAsia="黑体" w:hAnsi="黑体"/>
          <w:b/>
          <w:sz w:val="28"/>
          <w:lang w:eastAsia="zh-CN"/>
        </w:rPr>
      </w:pPr>
    </w:p>
    <w:p w:rsidR="00FB46D7" w:rsidRPr="00FB46D7" w:rsidRDefault="00FB46D7" w:rsidP="00FB46D7">
      <w:pPr>
        <w:spacing w:before="120" w:after="120"/>
        <w:rPr>
          <w:rFonts w:ascii="黑体" w:eastAsia="黑体" w:hAnsi="黑体"/>
          <w:b/>
          <w:lang w:eastAsia="zh-CN"/>
        </w:rPr>
      </w:pPr>
      <w:r w:rsidRPr="00FB46D7">
        <w:rPr>
          <w:rFonts w:ascii="黑体" w:eastAsia="黑体" w:hAnsi="黑体"/>
          <w:b/>
          <w:lang w:eastAsia="zh-CN"/>
        </w:rPr>
        <w:t>5、EDC系统</w:t>
      </w:r>
      <w:r>
        <w:rPr>
          <w:rFonts w:ascii="黑体" w:eastAsia="黑体" w:hAnsi="黑体"/>
          <w:b/>
          <w:lang w:eastAsia="zh-CN"/>
        </w:rPr>
        <w:t>访问形式</w:t>
      </w:r>
    </w:p>
    <w:p w:rsidR="00FB46D7" w:rsidRDefault="00FB46D7" w:rsidP="00FB46D7">
      <w:pPr>
        <w:spacing w:after="0" w:line="360" w:lineRule="auto"/>
        <w:ind w:firstLine="420"/>
        <w:rPr>
          <w:lang w:eastAsia="zh-CN"/>
        </w:rPr>
      </w:pPr>
      <w:r>
        <w:rPr>
          <w:lang w:eastAsia="zh-CN"/>
        </w:rPr>
        <w:t>EDC系统以互联网站形式承载和访问，即研究者通过指定网址进入EDC网页系统完成数据录入、查询、随访管理和质控查看；系统后台统一保存结构化研究数据、知情同意材料、上传附件和患者端回流数据，保障课题组可在授权网络环境下连续使用。</w:t>
      </w:r>
    </w:p>
    <w:p w:rsidR="00FB46D7" w:rsidRPr="00FB46D7" w:rsidRDefault="00FB46D7" w:rsidP="00FB46D7">
      <w:pPr>
        <w:spacing w:before="120" w:after="120"/>
        <w:rPr>
          <w:rFonts w:ascii="黑体" w:eastAsia="黑体" w:hAnsi="黑体"/>
          <w:b/>
          <w:lang w:eastAsia="zh-CN"/>
        </w:rPr>
      </w:pPr>
      <w:r w:rsidRPr="00FB46D7">
        <w:rPr>
          <w:rFonts w:ascii="黑体" w:eastAsia="黑体" w:hAnsi="黑体"/>
          <w:b/>
          <w:lang w:eastAsia="zh-CN"/>
        </w:rPr>
        <w:t>6、</w:t>
      </w:r>
      <w:r>
        <w:rPr>
          <w:rFonts w:ascii="黑体" w:eastAsia="黑体" w:hAnsi="黑体"/>
          <w:b/>
          <w:lang w:eastAsia="zh-CN"/>
        </w:rPr>
        <w:t>数据安全与技术保障</w:t>
      </w:r>
    </w:p>
    <w:p w:rsidR="00C64F90" w:rsidRDefault="00FB46D7" w:rsidP="00C64F90">
      <w:pPr>
        <w:spacing w:after="0" w:line="360" w:lineRule="auto"/>
        <w:ind w:firstLine="420"/>
        <w:rPr>
          <w:lang w:eastAsia="zh-CN"/>
        </w:rPr>
      </w:pPr>
      <w:r>
        <w:rPr>
          <w:lang w:eastAsia="zh-CN"/>
        </w:rPr>
        <w:t>针对EDC依托互联网站运行的特点，提供数据安全和技术安全保障措施，包括</w:t>
      </w:r>
      <w:r w:rsidR="00C64F90">
        <w:rPr>
          <w:lang w:eastAsia="zh-CN"/>
        </w:rPr>
        <w:t>使用国内</w:t>
      </w:r>
      <w:r w:rsidR="00C64F90" w:rsidRPr="00C64F90">
        <w:rPr>
          <w:rFonts w:hint="eastAsia"/>
          <w:lang w:eastAsia="zh-CN"/>
        </w:rPr>
        <w:t>企业级云服务器。数据实现</w:t>
      </w:r>
      <w:r w:rsidR="00C64F90" w:rsidRPr="00C64F90">
        <w:rPr>
          <w:lang w:eastAsia="zh-CN"/>
        </w:rPr>
        <w:t>100%境内物理驻留，确保符合国家医疗数据不出境的合规要求。</w:t>
      </w:r>
      <w:r w:rsidR="00C64F90" w:rsidRPr="00C64F90">
        <w:rPr>
          <w:rFonts w:hint="eastAsia"/>
          <w:lang w:eastAsia="zh-CN"/>
        </w:rPr>
        <w:t>高可用机房保障：</w:t>
      </w:r>
      <w:r w:rsidR="00C64F90">
        <w:rPr>
          <w:lang w:eastAsia="zh-CN"/>
        </w:rPr>
        <w:t>依托国内主流</w:t>
      </w:r>
      <w:r w:rsidR="00C64F90" w:rsidRPr="00C64F90">
        <w:rPr>
          <w:lang w:eastAsia="zh-CN"/>
        </w:rPr>
        <w:t>云</w:t>
      </w:r>
      <w:r w:rsidR="00C64F90">
        <w:rPr>
          <w:lang w:eastAsia="zh-CN"/>
        </w:rPr>
        <w:t>厂商</w:t>
      </w:r>
      <w:r w:rsidR="00C64F90" w:rsidRPr="00C64F90">
        <w:rPr>
          <w:lang w:eastAsia="zh-CN"/>
        </w:rPr>
        <w:t>最高安全级别的双线机房，具备防灾、防物理入侵、断电保护等国家级基础设施安全保障，并拥有完整的ISO 27001信息安全管理体系认证。</w:t>
      </w:r>
      <w:r>
        <w:rPr>
          <w:lang w:eastAsia="zh-CN"/>
        </w:rPr>
        <w:t>HTTPS加密传输、账号密码与角色权限控制、研究中心数据隔离、接口鉴权、访问日志和操作审计、定期数据备份、服务器安全加固、异常访问监测、文件上传类型限制及必要的数据脱敏处理，降低未授权访问、数据泄露和误操作风险。</w:t>
      </w:r>
    </w:p>
    <w:p w:rsidR="00FB46D7" w:rsidRPr="00FB46D7" w:rsidRDefault="00FB46D7" w:rsidP="00FB46D7">
      <w:pPr>
        <w:spacing w:before="120" w:after="120"/>
        <w:rPr>
          <w:rFonts w:ascii="黑体" w:eastAsia="黑体" w:hAnsi="黑体"/>
          <w:b/>
          <w:lang w:eastAsia="zh-CN"/>
        </w:rPr>
      </w:pPr>
      <w:r w:rsidRPr="00FB46D7">
        <w:rPr>
          <w:rFonts w:ascii="黑体" w:eastAsia="黑体" w:hAnsi="黑体"/>
          <w:b/>
          <w:lang w:eastAsia="zh-CN"/>
        </w:rPr>
        <w:t>7、</w:t>
      </w:r>
      <w:r w:rsidR="00C64F90">
        <w:rPr>
          <w:rFonts w:ascii="黑体" w:eastAsia="黑体" w:hAnsi="黑体" w:hint="eastAsia"/>
          <w:b/>
          <w:lang w:eastAsia="zh-CN"/>
        </w:rPr>
        <w:t>产出</w:t>
      </w:r>
      <w:r w:rsidR="00C64F90" w:rsidRPr="00C64F90">
        <w:rPr>
          <w:rFonts w:ascii="黑体" w:eastAsia="黑体" w:hAnsi="黑体" w:hint="eastAsia"/>
          <w:b/>
          <w:lang w:eastAsia="zh-CN"/>
        </w:rPr>
        <w:t>成果</w:t>
      </w:r>
    </w:p>
    <w:p w:rsidR="00FB46D7" w:rsidRDefault="00C64F90" w:rsidP="00FB46D7">
      <w:pPr>
        <w:spacing w:after="0" w:line="360" w:lineRule="auto"/>
        <w:ind w:firstLine="420"/>
        <w:rPr>
          <w:lang w:eastAsia="zh-CN"/>
        </w:rPr>
      </w:pPr>
      <w:r>
        <w:rPr>
          <w:lang w:eastAsia="zh-CN"/>
        </w:rPr>
        <w:lastRenderedPageBreak/>
        <w:t>形成可</w:t>
      </w:r>
      <w:r>
        <w:rPr>
          <w:rFonts w:hint="eastAsia"/>
          <w:lang w:eastAsia="zh-CN"/>
        </w:rPr>
        <w:t>供</w:t>
      </w:r>
      <w:r w:rsidR="00FB46D7">
        <w:rPr>
          <w:lang w:eastAsia="zh-CN"/>
        </w:rPr>
        <w:t>课题组、医院和临床工作</w:t>
      </w:r>
      <w:r>
        <w:rPr>
          <w:lang w:eastAsia="zh-CN"/>
        </w:rPr>
        <w:t>使用</w:t>
      </w:r>
      <w:r w:rsidR="00FB46D7">
        <w:rPr>
          <w:lang w:eastAsia="zh-CN"/>
        </w:rPr>
        <w:t>的阶段性成果</w:t>
      </w:r>
      <w:r>
        <w:rPr>
          <w:lang w:eastAsia="zh-CN"/>
        </w:rPr>
        <w:t>和数据</w:t>
      </w:r>
      <w:r w:rsidR="00FB46D7">
        <w:rPr>
          <w:lang w:eastAsia="zh-CN"/>
        </w:rPr>
        <w:t>，包括慢阻肺专病结构化研究数据库、标准化随访与质控台账、患者用药依从性和打卡行为数据、健康教育与用药指导知识库、患者端使用情况统计、随访完成率和中心管理报表，以及可用于药学服务改进、患者教育优化、临床科研分析、论文撰写和后续真实世界研究的数据基础。</w:t>
      </w:r>
    </w:p>
    <w:sectPr w:rsidR="00FB46D7" w:rsidSect="00FB46D7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3ED" w:rsidRDefault="00C263ED" w:rsidP="00FB46D7">
      <w:pPr>
        <w:spacing w:after="0" w:line="240" w:lineRule="auto"/>
      </w:pPr>
      <w:r>
        <w:separator/>
      </w:r>
    </w:p>
  </w:endnote>
  <w:endnote w:type="continuationSeparator" w:id="0">
    <w:p w:rsidR="00C263ED" w:rsidRDefault="00C263ED" w:rsidP="00FB4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3ED" w:rsidRDefault="00C263ED" w:rsidP="00FB46D7">
      <w:pPr>
        <w:spacing w:after="0" w:line="240" w:lineRule="auto"/>
      </w:pPr>
      <w:r>
        <w:separator/>
      </w:r>
    </w:p>
  </w:footnote>
  <w:footnote w:type="continuationSeparator" w:id="0">
    <w:p w:rsidR="00C263ED" w:rsidRDefault="00C263ED" w:rsidP="00FB46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D1E4665"/>
    <w:multiLevelType w:val="multilevel"/>
    <w:tmpl w:val="4D1E4665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A5350"/>
    <w:rsid w:val="0015074B"/>
    <w:rsid w:val="0029639D"/>
    <w:rsid w:val="00326F90"/>
    <w:rsid w:val="004208D1"/>
    <w:rsid w:val="008A3360"/>
    <w:rsid w:val="008D7C4A"/>
    <w:rsid w:val="00944514"/>
    <w:rsid w:val="009D03ED"/>
    <w:rsid w:val="00AA1D8D"/>
    <w:rsid w:val="00B47730"/>
    <w:rsid w:val="00C263ED"/>
    <w:rsid w:val="00C64F90"/>
    <w:rsid w:val="00CB0664"/>
    <w:rsid w:val="00DA4FDB"/>
    <w:rsid w:val="00EC3E38"/>
    <w:rsid w:val="00FB46D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FA240D84-0237-4B97-93B9-C49AD8EC9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宋体" w:eastAsia="宋体" w:hAnsi="宋体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A7B55E2-B1FB-4014-BD1E-3571DBD4A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夏沁芳</cp:lastModifiedBy>
  <cp:revision>6</cp:revision>
  <dcterms:created xsi:type="dcterms:W3CDTF">2013-12-23T23:15:00Z</dcterms:created>
  <dcterms:modified xsi:type="dcterms:W3CDTF">2026-07-15T01:14:00Z</dcterms:modified>
  <cp:category/>
</cp:coreProperties>
</file>