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AFFEAC">
      <w:pPr>
        <w:pStyle w:val="2"/>
        <w:spacing w:before="0" w:after="0" w:line="240" w:lineRule="auto"/>
        <w:jc w:val="center"/>
        <w:rPr>
          <w:rFonts w:hint="default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手麻科购全麻手术室用物资参数</w:t>
      </w:r>
    </w:p>
    <w:p w14:paraId="58068C08">
      <w:pPr>
        <w:pStyle w:val="2"/>
        <w:spacing w:before="0" w:after="0" w:line="240" w:lineRule="auto"/>
        <w:jc w:val="both"/>
        <w:rPr>
          <w:rFonts w:hint="default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一、手术椅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</w:rPr>
        <w:t>不锈钢升降圆凳（PU皮面）参数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eastAsia="zh-CN"/>
        </w:rPr>
        <w:t>，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单价480元/个</w:t>
      </w:r>
    </w:p>
    <w:p w14:paraId="789615F6">
      <w:pPr>
        <w:numPr>
          <w:ilvl w:val="0"/>
          <w:numId w:val="0"/>
        </w:numPr>
        <w:spacing w:before="0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1. 型号：E-50</w:t>
      </w:r>
    </w:p>
    <w:p w14:paraId="6C550F97">
      <w:pPr>
        <w:numPr>
          <w:ilvl w:val="0"/>
          <w:numId w:val="0"/>
        </w:numPr>
        <w:spacing w:before="0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2. 凳面：PU皮面，直径φ330mm</w:t>
      </w:r>
    </w:p>
    <w:p w14:paraId="5B640481">
      <w:pPr>
        <w:widowControl w:val="0"/>
        <w:numPr>
          <w:ilvl w:val="0"/>
          <w:numId w:val="0"/>
        </w:numPr>
        <w:spacing w:before="0"/>
        <w:jc w:val="both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3. 升降高度：450-750mm</w:t>
      </w:r>
    </w:p>
    <w:p w14:paraId="551DD6F1">
      <w:pPr>
        <w:widowControl w:val="0"/>
        <w:numPr>
          <w:ilvl w:val="0"/>
          <w:numId w:val="0"/>
        </w:numPr>
        <w:spacing w:before="0"/>
        <w:jc w:val="both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4. 凳脚：不锈钢圆管厚度φ25mm*1.5mm，底部支撑直径φ380mm</w:t>
      </w:r>
    </w:p>
    <w:p w14:paraId="1AF882AB">
      <w:pPr>
        <w:widowControl w:val="0"/>
        <w:numPr>
          <w:ilvl w:val="0"/>
          <w:numId w:val="0"/>
        </w:numPr>
        <w:spacing w:before="0"/>
        <w:jc w:val="both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5. 脚踏环高度：140mm</w:t>
      </w:r>
    </w:p>
    <w:p w14:paraId="7ED883B6">
      <w:pPr>
        <w:widowControl w:val="0"/>
        <w:numPr>
          <w:ilvl w:val="0"/>
          <w:numId w:val="0"/>
        </w:numPr>
        <w:spacing w:before="0"/>
        <w:jc w:val="both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6. 脚垫：浅色胶套内衬防滑脚垫</w:t>
      </w:r>
    </w:p>
    <w:p w14:paraId="0CD49306">
      <w:pPr>
        <w:widowControl w:val="0"/>
        <w:numPr>
          <w:ilvl w:val="0"/>
          <w:numId w:val="0"/>
        </w:numPr>
        <w:spacing w:before="0"/>
        <w:jc w:val="both"/>
        <w:rPr>
          <w:rFonts w:hint="default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7. 材质：不锈钢sus304材质焊接，防锈易清洁，适配医疗环境</w:t>
      </w:r>
    </w:p>
    <w:p w14:paraId="0F105826">
      <w:pPr>
        <w:widowControl w:val="0"/>
        <w:numPr>
          <w:ilvl w:val="0"/>
          <w:numId w:val="0"/>
        </w:numPr>
        <w:spacing w:before="0"/>
        <w:jc w:val="both"/>
        <w:rPr>
          <w:rFonts w:hint="default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二、</w:t>
      </w:r>
      <w:r>
        <w:rPr>
          <w:rFonts w:hint="default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不锈钢手术室升降托盘车参数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，单价900元/个</w:t>
      </w:r>
    </w:p>
    <w:p w14:paraId="2E5A9104">
      <w:pPr>
        <w:pStyle w:val="2"/>
        <w:spacing w:before="0" w:after="0" w:line="240" w:lineRule="auto"/>
        <w:jc w:val="both"/>
        <w:rPr>
          <w:rFonts w:hint="default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Fonts w:hint="default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1. 产品名称：不锈钢手术室升降托盘车</w:t>
      </w:r>
    </w:p>
    <w:p w14:paraId="5BFEA76F">
      <w:pPr>
        <w:pStyle w:val="2"/>
        <w:spacing w:before="0" w:after="0" w:line="240" w:lineRule="auto"/>
        <w:jc w:val="both"/>
        <w:rPr>
          <w:rFonts w:hint="default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Fonts w:hint="default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2. 材质标准：主体采用SUS304不锈钢，焊接成型，抛光处理，耐腐蚀易清洁，符合医疗环境消毒要求。</w:t>
      </w:r>
    </w:p>
    <w:p w14:paraId="6A1A4770">
      <w:pPr>
        <w:pStyle w:val="2"/>
        <w:spacing w:before="0" w:after="0" w:line="240" w:lineRule="auto"/>
        <w:jc w:val="both"/>
        <w:rPr>
          <w:rFonts w:hint="default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Fonts w:hint="default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3. 托盘配置：适配600×400×28mm不锈钢浅托盘，托盘架由15×30mm方管制作，结构稳固。</w:t>
      </w:r>
    </w:p>
    <w:p w14:paraId="54902EF2">
      <w:pPr>
        <w:pStyle w:val="2"/>
        <w:spacing w:before="0" w:after="0" w:line="240" w:lineRule="auto"/>
        <w:jc w:val="both"/>
        <w:rPr>
          <w:rFonts w:hint="default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Fonts w:hint="default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4. 升降功能：手动升降调节，高度调节范围900-1400mm，采用Φ32加衬管立柱，M10梅花手柄锁紧，操作便捷稳定。</w:t>
      </w:r>
    </w:p>
    <w:p w14:paraId="6DC24D4C">
      <w:pPr>
        <w:pStyle w:val="2"/>
        <w:spacing w:before="0" w:after="0" w:line="240" w:lineRule="auto"/>
        <w:jc w:val="both"/>
        <w:rPr>
          <w:rFonts w:hint="default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Fonts w:hint="default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5. 底座结构：三爪式底座，Φ32不锈钢管制作，管内加配重，防倾倒；底座尺寸内宽700mm，支腿长度400mm，支腿高度270mm。</w:t>
      </w:r>
    </w:p>
    <w:p w14:paraId="282D587F">
      <w:pPr>
        <w:pStyle w:val="2"/>
        <w:spacing w:before="0" w:after="0" w:line="240" w:lineRule="auto"/>
        <w:jc w:val="both"/>
        <w:rPr>
          <w:rFonts w:hint="default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Fonts w:hint="default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6. 脚轮配置：Φ80mm双面静音轮，推行静音顺滑，耐磨防缠绕，适配手术室地面。</w:t>
      </w:r>
    </w:p>
    <w:p w14:paraId="17F4A490">
      <w:pPr>
        <w:widowControl w:val="0"/>
        <w:numPr>
          <w:ilvl w:val="0"/>
          <w:numId w:val="0"/>
        </w:numPr>
        <w:spacing w:before="0"/>
        <w:jc w:val="both"/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</w:pPr>
    </w:p>
    <w:p w14:paraId="756E66F4">
      <w:pPr>
        <w:widowControl w:val="0"/>
        <w:numPr>
          <w:ilvl w:val="0"/>
          <w:numId w:val="0"/>
        </w:numPr>
        <w:spacing w:before="0"/>
        <w:jc w:val="both"/>
        <w:rPr>
          <w:rFonts w:hint="default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三、不锈钢手术套车（SUS304）参数，单价2900元/个</w:t>
      </w:r>
    </w:p>
    <w:p w14:paraId="32B0C8FB">
      <w:pPr>
        <w:widowControl w:val="0"/>
        <w:numPr>
          <w:ilvl w:val="0"/>
          <w:numId w:val="0"/>
        </w:numPr>
        <w:spacing w:before="0"/>
        <w:jc w:val="both"/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1. 产品名称：不锈钢手术套车（整套含大、中、小号3件）</w:t>
      </w:r>
    </w:p>
    <w:p w14:paraId="107B1D99">
      <w:pPr>
        <w:widowControl w:val="0"/>
        <w:numPr>
          <w:ilvl w:val="0"/>
          <w:numId w:val="0"/>
        </w:numPr>
        <w:spacing w:before="0"/>
        <w:jc w:val="both"/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2. 材质标准：</w:t>
      </w:r>
    </w:p>
    <w:p w14:paraId="0A6CF67E">
      <w:pPr>
        <w:widowControl w:val="0"/>
        <w:numPr>
          <w:ilvl w:val="0"/>
          <w:numId w:val="0"/>
        </w:numPr>
        <w:spacing w:before="0"/>
        <w:jc w:val="both"/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主体材质：SUS304不锈钢，焊接成型，台面厚度≥1.2mm，台面下加衬板加固，承重性能优异</w:t>
      </w:r>
    </w:p>
    <w:p w14:paraId="41AFC133">
      <w:pPr>
        <w:widowControl w:val="0"/>
        <w:numPr>
          <w:ilvl w:val="0"/>
          <w:numId w:val="0"/>
        </w:numPr>
        <w:spacing w:before="0"/>
        <w:jc w:val="both"/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管材规格：台面四边方管20×30×1.5mm，立柱圆管Φ25×1.5mm，横撑圆管Φ19×1.5mm</w:t>
      </w:r>
    </w:p>
    <w:p w14:paraId="32E8D248">
      <w:pPr>
        <w:widowControl w:val="0"/>
        <w:numPr>
          <w:ilvl w:val="0"/>
          <w:numId w:val="1"/>
        </w:numPr>
        <w:spacing w:before="0"/>
        <w:jc w:val="both"/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尺寸规格：</w:t>
      </w:r>
    </w:p>
    <w:tbl>
      <w:tblPr>
        <w:tblStyle w:val="4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4"/>
        <w:gridCol w:w="4535"/>
        <w:gridCol w:w="2300"/>
      </w:tblGrid>
      <w:tr w14:paraId="2F11D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0E289A0B">
            <w:pPr>
              <w:widowControl w:val="0"/>
              <w:numPr>
                <w:ilvl w:val="0"/>
                <w:numId w:val="0"/>
              </w:numPr>
              <w:spacing w:before="0"/>
              <w:jc w:val="both"/>
              <w:rPr>
                <w:rFonts w:hint="eastAsia" w:ascii="仿宋" w:hAnsi="仿宋" w:eastAsia="仿宋" w:cs="仿宋"/>
                <w:b w:val="0"/>
                <w:i w:val="0"/>
                <w:strike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auto"/>
                <w:sz w:val="28"/>
                <w:szCs w:val="28"/>
                <w:u w:val="none"/>
                <w:lang w:val="en-US" w:eastAsia="zh-CN"/>
              </w:rPr>
              <w:t>型号</w:t>
            </w:r>
          </w:p>
        </w:tc>
        <w:tc>
          <w:tcPr>
            <w:tcW w:w="0" w:type="auto"/>
            <w:vAlign w:val="center"/>
          </w:tcPr>
          <w:p w14:paraId="3967138C">
            <w:pPr>
              <w:widowControl w:val="0"/>
              <w:numPr>
                <w:ilvl w:val="0"/>
                <w:numId w:val="0"/>
              </w:numPr>
              <w:spacing w:before="0"/>
              <w:jc w:val="both"/>
              <w:rPr>
                <w:rFonts w:hint="eastAsia" w:ascii="仿宋" w:hAnsi="仿宋" w:eastAsia="仿宋" w:cs="仿宋"/>
                <w:b w:val="0"/>
                <w:i w:val="0"/>
                <w:strike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auto"/>
                <w:sz w:val="28"/>
                <w:szCs w:val="28"/>
                <w:u w:val="none"/>
                <w:lang w:val="en-US" w:eastAsia="zh-CN"/>
              </w:rPr>
              <w:t>台面尺寸(长×宽)</w:t>
            </w:r>
          </w:p>
        </w:tc>
        <w:tc>
          <w:tcPr>
            <w:tcW w:w="2300" w:type="dxa"/>
            <w:vAlign w:val="center"/>
          </w:tcPr>
          <w:p w14:paraId="6938D3E8">
            <w:pPr>
              <w:widowControl w:val="0"/>
              <w:numPr>
                <w:ilvl w:val="0"/>
                <w:numId w:val="0"/>
              </w:numPr>
              <w:spacing w:before="0"/>
              <w:jc w:val="both"/>
              <w:rPr>
                <w:rFonts w:hint="eastAsia" w:ascii="仿宋" w:hAnsi="仿宋" w:eastAsia="仿宋" w:cs="仿宋"/>
                <w:b w:val="0"/>
                <w:i w:val="0"/>
                <w:strike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auto"/>
                <w:sz w:val="28"/>
                <w:szCs w:val="28"/>
                <w:u w:val="none"/>
                <w:lang w:val="en-US" w:eastAsia="zh-CN"/>
              </w:rPr>
              <w:t>高度</w:t>
            </w:r>
          </w:p>
        </w:tc>
      </w:tr>
      <w:tr w14:paraId="425DC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04F870EA">
            <w:pPr>
              <w:widowControl w:val="0"/>
              <w:numPr>
                <w:ilvl w:val="0"/>
                <w:numId w:val="0"/>
              </w:numPr>
              <w:spacing w:before="0"/>
              <w:jc w:val="both"/>
              <w:rPr>
                <w:rFonts w:hint="eastAsia" w:ascii="仿宋" w:hAnsi="仿宋" w:eastAsia="仿宋" w:cs="仿宋"/>
                <w:b w:val="0"/>
                <w:i w:val="0"/>
                <w:strike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auto"/>
                <w:sz w:val="28"/>
                <w:szCs w:val="28"/>
                <w:u w:val="none"/>
                <w:lang w:val="en-US" w:eastAsia="zh-CN"/>
              </w:rPr>
              <w:t>大号</w:t>
            </w:r>
          </w:p>
        </w:tc>
        <w:tc>
          <w:tcPr>
            <w:tcW w:w="0" w:type="auto"/>
            <w:vAlign w:val="center"/>
          </w:tcPr>
          <w:p w14:paraId="231E33A1">
            <w:pPr>
              <w:widowControl w:val="0"/>
              <w:numPr>
                <w:ilvl w:val="0"/>
                <w:numId w:val="0"/>
              </w:numPr>
              <w:spacing w:before="0"/>
              <w:jc w:val="both"/>
              <w:rPr>
                <w:rFonts w:hint="eastAsia" w:ascii="仿宋" w:hAnsi="仿宋" w:eastAsia="仿宋" w:cs="仿宋"/>
                <w:b w:val="0"/>
                <w:i w:val="0"/>
                <w:strike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auto"/>
                <w:sz w:val="28"/>
                <w:szCs w:val="28"/>
                <w:u w:val="none"/>
                <w:lang w:val="en-US" w:eastAsia="zh-CN"/>
              </w:rPr>
              <w:t>1020×630mm</w:t>
            </w:r>
          </w:p>
        </w:tc>
        <w:tc>
          <w:tcPr>
            <w:tcW w:w="2300" w:type="dxa"/>
            <w:vAlign w:val="center"/>
          </w:tcPr>
          <w:p w14:paraId="39964B6A">
            <w:pPr>
              <w:widowControl w:val="0"/>
              <w:numPr>
                <w:ilvl w:val="0"/>
                <w:numId w:val="0"/>
              </w:numPr>
              <w:spacing w:before="0"/>
              <w:jc w:val="both"/>
              <w:rPr>
                <w:rFonts w:hint="eastAsia" w:ascii="仿宋" w:hAnsi="仿宋" w:eastAsia="仿宋" w:cs="仿宋"/>
                <w:b w:val="0"/>
                <w:i w:val="0"/>
                <w:strike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auto"/>
                <w:sz w:val="28"/>
                <w:szCs w:val="28"/>
                <w:u w:val="none"/>
                <w:lang w:val="en-US" w:eastAsia="zh-CN"/>
              </w:rPr>
              <w:t>960mm</w:t>
            </w:r>
          </w:p>
        </w:tc>
      </w:tr>
      <w:tr w14:paraId="46F07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62709B18">
            <w:pPr>
              <w:widowControl w:val="0"/>
              <w:numPr>
                <w:ilvl w:val="0"/>
                <w:numId w:val="0"/>
              </w:numPr>
              <w:spacing w:before="0"/>
              <w:jc w:val="both"/>
              <w:rPr>
                <w:rFonts w:hint="eastAsia" w:ascii="仿宋" w:hAnsi="仿宋" w:eastAsia="仿宋" w:cs="仿宋"/>
                <w:b w:val="0"/>
                <w:i w:val="0"/>
                <w:strike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auto"/>
                <w:sz w:val="28"/>
                <w:szCs w:val="28"/>
                <w:u w:val="none"/>
                <w:lang w:val="en-US" w:eastAsia="zh-CN"/>
              </w:rPr>
              <w:t>中号</w:t>
            </w:r>
          </w:p>
        </w:tc>
        <w:tc>
          <w:tcPr>
            <w:tcW w:w="0" w:type="auto"/>
            <w:vAlign w:val="center"/>
          </w:tcPr>
          <w:p w14:paraId="35E2E9CA">
            <w:pPr>
              <w:widowControl w:val="0"/>
              <w:numPr>
                <w:ilvl w:val="0"/>
                <w:numId w:val="0"/>
              </w:numPr>
              <w:spacing w:before="0"/>
              <w:jc w:val="both"/>
              <w:rPr>
                <w:rFonts w:hint="eastAsia" w:ascii="仿宋" w:hAnsi="仿宋" w:eastAsia="仿宋" w:cs="仿宋"/>
                <w:b w:val="0"/>
                <w:i w:val="0"/>
                <w:strike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auto"/>
                <w:sz w:val="28"/>
                <w:szCs w:val="28"/>
                <w:u w:val="none"/>
                <w:lang w:val="en-US" w:eastAsia="zh-CN"/>
              </w:rPr>
              <w:t>840×600mm</w:t>
            </w:r>
          </w:p>
        </w:tc>
        <w:tc>
          <w:tcPr>
            <w:tcW w:w="2300" w:type="dxa"/>
            <w:vAlign w:val="center"/>
          </w:tcPr>
          <w:p w14:paraId="0C0C7823">
            <w:pPr>
              <w:widowControl w:val="0"/>
              <w:numPr>
                <w:ilvl w:val="0"/>
                <w:numId w:val="0"/>
              </w:numPr>
              <w:spacing w:before="0"/>
              <w:jc w:val="both"/>
              <w:rPr>
                <w:rFonts w:hint="eastAsia" w:ascii="仿宋" w:hAnsi="仿宋" w:eastAsia="仿宋" w:cs="仿宋"/>
                <w:b w:val="0"/>
                <w:i w:val="0"/>
                <w:strike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auto"/>
                <w:sz w:val="28"/>
                <w:szCs w:val="28"/>
                <w:u w:val="none"/>
                <w:lang w:val="en-US" w:eastAsia="zh-CN"/>
              </w:rPr>
              <w:t>915mm</w:t>
            </w:r>
          </w:p>
        </w:tc>
      </w:tr>
      <w:tr w14:paraId="22B92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84" w:type="dxa"/>
            <w:vAlign w:val="center"/>
          </w:tcPr>
          <w:p w14:paraId="3A67EF75">
            <w:pPr>
              <w:widowControl w:val="0"/>
              <w:numPr>
                <w:ilvl w:val="0"/>
                <w:numId w:val="0"/>
              </w:numPr>
              <w:spacing w:before="0"/>
              <w:jc w:val="both"/>
              <w:rPr>
                <w:rFonts w:hint="eastAsia" w:ascii="仿宋" w:hAnsi="仿宋" w:eastAsia="仿宋" w:cs="仿宋"/>
                <w:b w:val="0"/>
                <w:i w:val="0"/>
                <w:strike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auto"/>
                <w:sz w:val="28"/>
                <w:szCs w:val="28"/>
                <w:u w:val="none"/>
                <w:lang w:val="en-US" w:eastAsia="zh-CN"/>
              </w:rPr>
              <w:t>小号</w:t>
            </w:r>
          </w:p>
        </w:tc>
        <w:tc>
          <w:tcPr>
            <w:tcW w:w="4535" w:type="dxa"/>
            <w:vAlign w:val="center"/>
          </w:tcPr>
          <w:p w14:paraId="14B27B26">
            <w:pPr>
              <w:widowControl w:val="0"/>
              <w:numPr>
                <w:ilvl w:val="0"/>
                <w:numId w:val="0"/>
              </w:numPr>
              <w:spacing w:before="0"/>
              <w:jc w:val="both"/>
              <w:rPr>
                <w:rFonts w:hint="eastAsia" w:ascii="仿宋" w:hAnsi="仿宋" w:eastAsia="仿宋" w:cs="仿宋"/>
                <w:b w:val="0"/>
                <w:i w:val="0"/>
                <w:strike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auto"/>
                <w:sz w:val="28"/>
                <w:szCs w:val="28"/>
                <w:u w:val="none"/>
                <w:lang w:val="en-US" w:eastAsia="zh-CN"/>
              </w:rPr>
              <w:t>660×585mm</w:t>
            </w:r>
          </w:p>
        </w:tc>
        <w:tc>
          <w:tcPr>
            <w:tcW w:w="2300" w:type="dxa"/>
            <w:vAlign w:val="center"/>
          </w:tcPr>
          <w:p w14:paraId="37FB0916">
            <w:pPr>
              <w:widowControl w:val="0"/>
              <w:numPr>
                <w:ilvl w:val="0"/>
                <w:numId w:val="0"/>
              </w:numPr>
              <w:spacing w:before="0"/>
              <w:jc w:val="both"/>
              <w:rPr>
                <w:rFonts w:hint="eastAsia" w:ascii="仿宋" w:hAnsi="仿宋" w:eastAsia="仿宋" w:cs="仿宋"/>
                <w:b w:val="0"/>
                <w:i w:val="0"/>
                <w:strike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auto"/>
                <w:sz w:val="28"/>
                <w:szCs w:val="28"/>
                <w:u w:val="none"/>
                <w:lang w:val="en-US" w:eastAsia="zh-CN"/>
              </w:rPr>
              <w:t>875mm</w:t>
            </w:r>
          </w:p>
        </w:tc>
      </w:tr>
    </w:tbl>
    <w:p w14:paraId="72728111">
      <w:pPr>
        <w:widowControl w:val="0"/>
        <w:numPr>
          <w:ilvl w:val="0"/>
          <w:numId w:val="0"/>
        </w:numPr>
        <w:spacing w:before="0"/>
        <w:jc w:val="both"/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大号台面上栏高度：70mm，Φ10mm圆管制作</w:t>
      </w:r>
    </w:p>
    <w:p w14:paraId="263E3629">
      <w:pPr>
        <w:widowControl w:val="0"/>
        <w:numPr>
          <w:ilvl w:val="0"/>
          <w:numId w:val="0"/>
        </w:numPr>
        <w:spacing w:before="0"/>
        <w:jc w:val="both"/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脚轮安装高度：大号250mm、中号250mm、小号280mm</w:t>
      </w:r>
    </w:p>
    <w:p w14:paraId="53D43960">
      <w:pPr>
        <w:widowControl w:val="0"/>
        <w:numPr>
          <w:ilvl w:val="0"/>
          <w:numId w:val="1"/>
        </w:numPr>
        <w:spacing w:before="0"/>
        <w:ind w:left="0" w:leftChars="0" w:firstLine="0" w:firstLineChars="0"/>
        <w:jc w:val="both"/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脚轮配置：</w:t>
      </w:r>
    </w:p>
    <w:p w14:paraId="081D4634">
      <w:pPr>
        <w:widowControl w:val="0"/>
        <w:numPr>
          <w:ilvl w:val="0"/>
          <w:numId w:val="0"/>
        </w:numPr>
        <w:spacing w:before="0"/>
        <w:jc w:val="both"/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规格：Φ75mm防缠绕双面静音轮，推行静音顺滑，防毛发缠绕，适配医院地面</w:t>
      </w:r>
    </w:p>
    <w:p w14:paraId="2F3DDA66">
      <w:pPr>
        <w:widowControl w:val="0"/>
        <w:numPr>
          <w:ilvl w:val="0"/>
          <w:numId w:val="1"/>
        </w:numPr>
        <w:spacing w:before="0"/>
        <w:ind w:left="0" w:leftChars="0" w:firstLine="0" w:firstLineChars="0"/>
        <w:jc w:val="both"/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工艺与性能：</w:t>
      </w:r>
    </w:p>
    <w:p w14:paraId="02D04106">
      <w:pPr>
        <w:widowControl w:val="0"/>
        <w:numPr>
          <w:ilvl w:val="0"/>
          <w:numId w:val="0"/>
        </w:numPr>
        <w:spacing w:before="0"/>
        <w:jc w:val="both"/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焊接工艺：全不锈钢满焊，打磨抛光无毛刺，易清洁消毒</w:t>
      </w:r>
    </w:p>
    <w:p w14:paraId="6E896AC5">
      <w:pPr>
        <w:widowControl w:val="0"/>
        <w:numPr>
          <w:ilvl w:val="0"/>
          <w:numId w:val="0"/>
        </w:numPr>
        <w:spacing w:before="0"/>
        <w:jc w:val="both"/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结构：整体稳固，台面平整无变形，满足手术室器械、敷料等物品转运需求</w:t>
      </w:r>
    </w:p>
    <w:p w14:paraId="351DDF8C">
      <w:pPr>
        <w:widowControl w:val="0"/>
        <w:numPr>
          <w:ilvl w:val="0"/>
          <w:numId w:val="0"/>
        </w:numPr>
        <w:spacing w:after="0"/>
        <w:jc w:val="both"/>
      </w:pPr>
    </w:p>
    <w:p w14:paraId="7E474C6E">
      <w:pPr>
        <w:widowControl w:val="0"/>
        <w:numPr>
          <w:ilvl w:val="0"/>
          <w:numId w:val="0"/>
        </w:numPr>
        <w:spacing w:after="0"/>
        <w:jc w:val="both"/>
      </w:pPr>
    </w:p>
    <w:p w14:paraId="2C90C516"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四、可叠放不锈钢脚踏凳（304）技术参数，单价420元/个</w:t>
      </w:r>
      <w:bookmarkStart w:id="0" w:name="_GoBack"/>
      <w:bookmarkEnd w:id="0"/>
    </w:p>
    <w:p w14:paraId="76B32B2A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1. 产品名称：手术室可叠放不锈钢脚踏凳 </w:t>
      </w:r>
    </w:p>
    <w:p w14:paraId="369C775F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2. 材质SUS304不锈钢，板厚1.2mm，凳面尺寸450mm（长）×300mm（宽），整体高度 150mm（单层款）/ 250mm（双层款，叠放后） </w:t>
      </w:r>
    </w:p>
    <w:p w14:paraId="5EC7E148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3. 结构形式：整体焊接成型，四脚外扩式设计，支持多凳叠放 </w:t>
      </w:r>
    </w:p>
    <w:p w14:paraId="2A45C7E4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 材质性能：</w:t>
      </w:r>
    </w:p>
    <w:p w14:paraId="7B7E0024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不锈钢牌号：SUS304，含铬≥18%、镍≥8%，符合医用级不锈钢标准</w:t>
      </w:r>
    </w:p>
    <w:p w14:paraId="778AF928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板材厚度：凳面/侧板/脚撑均为1.2mm 304不锈钢板</w:t>
      </w:r>
    </w:p>
    <w:p w14:paraId="10817785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表面处理：拉丝抛光，无毛刺、无尖角，符合医院清洁消毒要求</w:t>
      </w:r>
    </w:p>
    <w:p w14:paraId="6A30A8F1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 叠放结构设计：</w:t>
      </w:r>
    </w:p>
    <w:p w14:paraId="42F10665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凳脚采用外扩式倾斜设计，下凳的凳面可嵌入上凳的脚撑之间，实现稳定叠放</w:t>
      </w:r>
    </w:p>
    <w:p w14:paraId="595E003F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凳脚底部预留防滑橡胶垫安装位，叠放时不影响稳定性</w:t>
      </w:r>
    </w:p>
    <w:p w14:paraId="454AC229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侧面焊接内嵌式把手，便于搬运、叠放操作</w:t>
      </w:r>
    </w:p>
    <w:p w14:paraId="7C0A9EF1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6. 防滑与承重：</w:t>
      </w:r>
    </w:p>
    <w:p w14:paraId="210229A0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凳面标配黑色防滑橡胶垫（带防滑纹理），尺寸与凳面一致</w:t>
      </w:r>
    </w:p>
    <w:p w14:paraId="0D222976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额定承重：≥150kg，整体焊接结构无松动、无变形风险</w:t>
      </w:r>
    </w:p>
    <w:p w14:paraId="5F2565AD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7. 卫生与安全：</w:t>
      </w:r>
    </w:p>
    <w:p w14:paraId="129073C3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全不锈钢焊接，无卫生死角，可耐受高温消毒、酒精擦拭</w:t>
      </w:r>
    </w:p>
    <w:p w14:paraId="3EA31368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边缘全打磨圆角处理，无锐边，避免划伤医护人员</w:t>
      </w:r>
    </w:p>
    <w:p w14:paraId="239D6FB6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无磁不锈钢材质，适配手术室强磁环境</w:t>
      </w:r>
    </w:p>
    <w:p w14:paraId="3D8A0F5F">
      <w:pPr>
        <w:numPr>
          <w:ilvl w:val="0"/>
          <w:numId w:val="2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定制说明：</w:t>
      </w:r>
    </w:p>
    <w:p w14:paraId="3065E062">
      <w:pPr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可按需求调整双层款的单凳高度（如单凳150mm，叠放后250mm），不影响叠放功能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4D10353"/>
    <w:multiLevelType w:val="singleLevel"/>
    <w:tmpl w:val="F4D10353"/>
    <w:lvl w:ilvl="0" w:tentative="0">
      <w:start w:val="3"/>
      <w:numFmt w:val="decimal"/>
      <w:suff w:val="space"/>
      <w:lvlText w:val="%1."/>
      <w:lvlJc w:val="left"/>
    </w:lvl>
  </w:abstractNum>
  <w:abstractNum w:abstractNumId="1">
    <w:nsid w:val="42336070"/>
    <w:multiLevelType w:val="singleLevel"/>
    <w:tmpl w:val="42336070"/>
    <w:lvl w:ilvl="0" w:tentative="0">
      <w:start w:val="8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E86937"/>
    <w:rsid w:val="02E86937"/>
    <w:rsid w:val="23A637D8"/>
    <w:rsid w:val="2D6D622B"/>
    <w:rsid w:val="3CFA1FB5"/>
    <w:rsid w:val="3DA9034E"/>
    <w:rsid w:val="4BF801BD"/>
    <w:rsid w:val="73B1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1092</Words>
  <Characters>1342</Characters>
  <Lines>0</Lines>
  <Paragraphs>0</Paragraphs>
  <TotalTime>41</TotalTime>
  <ScaleCrop>false</ScaleCrop>
  <LinksUpToDate>false</LinksUpToDate>
  <CharactersWithSpaces>1371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2026-06-15T07:54:00Z</dcterms:created>
  <dc:creator>JTY</dc:creator>
  <cp:lastModifiedBy>Crystal</cp:lastModifiedBy>
  <dcterms:modified xsi:type="dcterms:W3CDTF">2026-07-16T07:47:48Z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24FEA0CA707343C691FA7936B6045F6B_13</vt:lpwstr>
  </property>
  <property fmtid="{D5CDD505-2E9C-101B-9397-08002B2CF9AE}" pid="4" name="KSOTemplateDocerSaveRecord">
    <vt:lpwstr>eyJoZGlkIjoiNDEyZTU1MmNmMzA3MzdhZDI5NDJjOGMzNDE1NTRjNDIiLCJ1c2VySWQiOiIzNjQwMzE2MDQifQ==</vt:lpwstr>
  </property>
</Properties>
</file>