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4CF44">
      <w:pPr>
        <w:pStyle w:val="2"/>
        <w:bidi w:val="0"/>
        <w:jc w:val="center"/>
        <w:rPr>
          <w:rFonts w:hint="eastAsia" w:ascii="微软雅黑" w:hAnsi="微软雅黑" w:eastAsia="微软雅黑" w:cs="微软雅黑"/>
          <w:sz w:val="40"/>
          <w:szCs w:val="40"/>
        </w:rPr>
      </w:pPr>
      <w:r>
        <w:rPr>
          <w:rFonts w:hint="eastAsia" w:ascii="微软雅黑" w:hAnsi="微软雅黑" w:eastAsia="微软雅黑" w:cs="微软雅黑"/>
          <w:sz w:val="44"/>
          <w:szCs w:val="44"/>
        </w:rPr>
        <w:t>基于脑电与多模态生理信号融合的疼痛客观化评价体系构建与临床应用项目需求书</w:t>
      </w:r>
      <w:r>
        <w:rPr>
          <w:rFonts w:hint="eastAsia" w:ascii="微软雅黑" w:hAnsi="微软雅黑" w:eastAsia="微软雅黑" w:cs="微软雅黑"/>
          <w:sz w:val="44"/>
          <w:szCs w:val="44"/>
        </w:rPr>
        <w:br w:type="textWrapping"/>
      </w:r>
    </w:p>
    <w:p w14:paraId="42EAAD09">
      <w:pPr>
        <w:pStyle w:val="2"/>
        <w:numPr>
          <w:ilvl w:val="0"/>
          <w:numId w:val="1"/>
        </w:numPr>
        <w:bidi w:val="0"/>
        <w:rPr>
          <w:rFonts w:hint="eastAsia" w:ascii="微软雅黑" w:hAnsi="微软雅黑" w:eastAsia="微软雅黑" w:cs="微软雅黑"/>
          <w:sz w:val="28"/>
          <w:szCs w:val="28"/>
        </w:rPr>
      </w:pPr>
      <w:bookmarkStart w:id="0" w:name="mqiusehlknf6yk1wfcm"/>
      <w:r>
        <w:rPr>
          <w:rFonts w:hint="eastAsia" w:ascii="微软雅黑" w:hAnsi="微软雅黑" w:eastAsia="微软雅黑" w:cs="微软雅黑"/>
          <w:sz w:val="28"/>
          <w:szCs w:val="28"/>
        </w:rPr>
        <w:t>项目</w:t>
      </w:r>
      <w:r>
        <w:rPr>
          <w:rFonts w:hint="eastAsia" w:ascii="微软雅黑" w:hAnsi="微软雅黑" w:eastAsia="微软雅黑" w:cs="微软雅黑"/>
          <w:sz w:val="28"/>
          <w:szCs w:val="28"/>
          <w:lang w:val="en-US" w:eastAsia="zh-CN"/>
        </w:rPr>
        <w:t>背景及</w:t>
      </w:r>
      <w:r>
        <w:rPr>
          <w:rFonts w:hint="eastAsia" w:ascii="微软雅黑" w:hAnsi="微软雅黑" w:eastAsia="微软雅黑" w:cs="微软雅黑"/>
          <w:sz w:val="28"/>
          <w:szCs w:val="28"/>
        </w:rPr>
        <w:t>概况</w:t>
      </w:r>
      <w:bookmarkEnd w:id="0"/>
    </w:p>
    <w:p w14:paraId="7EEE19CC">
      <w:pPr>
        <w:pStyle w:val="2"/>
        <w:numPr>
          <w:ilvl w:val="0"/>
          <w:numId w:val="0"/>
        </w:numPr>
        <w:bidi w:val="0"/>
        <w:spacing w:before="0" w:after="0"/>
        <w:outlineLvl w:val="0"/>
        <w:rPr>
          <w:rFonts w:hint="eastAsia" w:ascii="微软雅黑" w:hAnsi="微软雅黑" w:eastAsia="微软雅黑" w:cs="微软雅黑"/>
          <w:b/>
          <w:kern w:val="2"/>
          <w:sz w:val="28"/>
          <w:szCs w:val="28"/>
          <w:lang w:val="en-US" w:eastAsia="zh-CN"/>
        </w:rPr>
      </w:pPr>
      <w:r>
        <w:rPr>
          <w:rFonts w:hint="eastAsia" w:ascii="微软雅黑" w:hAnsi="微软雅黑" w:eastAsia="微软雅黑" w:cs="微软雅黑"/>
          <w:b/>
          <w:kern w:val="2"/>
          <w:sz w:val="24"/>
          <w:szCs w:val="24"/>
          <w:lang w:val="en-US" w:eastAsia="zh-CN"/>
        </w:rPr>
        <w:t>1.1项目背景</w:t>
      </w:r>
    </w:p>
    <w:p w14:paraId="3186A3D4">
      <w:pPr>
        <w:pStyle w:val="2"/>
        <w:numPr>
          <w:ilvl w:val="0"/>
          <w:numId w:val="0"/>
        </w:numPr>
        <w:bidi w:val="0"/>
        <w:spacing w:before="0" w:after="0"/>
        <w:outlineLvl w:val="0"/>
        <w:rPr>
          <w:rFonts w:hint="default" w:ascii="微软雅黑" w:hAnsi="微软雅黑" w:eastAsia="微软雅黑" w:cs="微软雅黑"/>
          <w:b/>
          <w:kern w:val="2"/>
          <w:sz w:val="24"/>
          <w:szCs w:val="24"/>
          <w:lang w:val="en-US" w:eastAsia="zh-CN"/>
        </w:rPr>
      </w:pPr>
    </w:p>
    <w:p w14:paraId="1A96358F">
      <w:pPr>
        <w:pStyle w:val="2"/>
        <w:numPr>
          <w:ilvl w:val="0"/>
          <w:numId w:val="0"/>
        </w:numPr>
        <w:bidi w:val="0"/>
        <w:spacing w:before="0" w:after="0"/>
        <w:ind w:firstLine="480" w:firstLineChars="200"/>
        <w:outlineLvl w:val="0"/>
        <w:rPr>
          <w:rFonts w:hint="eastAsia" w:ascii="微软雅黑" w:hAnsi="微软雅黑" w:eastAsia="微软雅黑" w:cs="微软雅黑"/>
          <w:b w:val="0"/>
          <w:kern w:val="2"/>
          <w:sz w:val="24"/>
          <w:szCs w:val="24"/>
          <w:lang w:val="en-US" w:eastAsia="zh-CN"/>
        </w:rPr>
      </w:pPr>
      <w:r>
        <w:rPr>
          <w:rFonts w:hint="eastAsia" w:ascii="微软雅黑" w:hAnsi="微软雅黑" w:eastAsia="微软雅黑" w:cs="微软雅黑"/>
          <w:b w:val="0"/>
          <w:kern w:val="2"/>
          <w:sz w:val="24"/>
          <w:szCs w:val="24"/>
          <w:lang w:val="en-US" w:eastAsia="zh-CN"/>
        </w:rPr>
        <w:t>有效的临床干预与精准镇痛高度依赖于对疼痛状态的精准量化。然而，当前临床评估仍深度受限于主观量表。此类工具的有效性严重依赖于受试者的认知水平、语言表达能力及心理暗示程度。更为关键的是，主观评分具有极强的瞬时性与波动性，难以客观捕捉临床疼痛（尤其是从急性向慢性演变过程）背后的中枢敏化进程。这种客观且具特异性的疼痛量化生物标志物的缺失，不仅严重制约了学界对疼痛神经机制的深入解析，更直接阻碍了新型镇痛药物的研发效率与神经调控技术的精准定位。因此，打破主观量表的限制，开发基于中枢神经电生理的客观定量评估策略，已成为当前疼痛医学领域实现精准医疗的关键瓶颈与当务之急。</w:t>
      </w:r>
    </w:p>
    <w:p w14:paraId="6BCD1D19">
      <w:pPr>
        <w:pStyle w:val="2"/>
        <w:numPr>
          <w:ilvl w:val="0"/>
          <w:numId w:val="0"/>
        </w:numPr>
        <w:bidi w:val="0"/>
        <w:spacing w:before="0" w:after="0"/>
        <w:ind w:firstLine="480" w:firstLineChars="200"/>
        <w:outlineLvl w:val="0"/>
        <w:rPr>
          <w:rFonts w:hint="eastAsia" w:ascii="微软雅黑" w:hAnsi="微软雅黑" w:eastAsia="微软雅黑" w:cs="微软雅黑"/>
          <w:b w:val="0"/>
          <w:bCs w:val="0"/>
          <w:kern w:val="2"/>
          <w:sz w:val="24"/>
          <w:szCs w:val="24"/>
          <w:lang w:val="en-US" w:eastAsia="zh-CN"/>
        </w:rPr>
      </w:pPr>
      <w:r>
        <w:rPr>
          <w:rFonts w:hint="eastAsia" w:ascii="微软雅黑" w:hAnsi="微软雅黑" w:eastAsia="微软雅黑" w:cs="微软雅黑"/>
          <w:b w:val="0"/>
          <w:bCs w:val="0"/>
          <w:kern w:val="2"/>
          <w:sz w:val="24"/>
          <w:szCs w:val="24"/>
          <w:lang w:val="en-US" w:eastAsia="zh-CN"/>
        </w:rPr>
        <w:t>基于上述临床需求，</w:t>
      </w:r>
      <w:r>
        <w:rPr>
          <w:rFonts w:hint="eastAsia" w:ascii="微软雅黑" w:hAnsi="微软雅黑" w:eastAsia="微软雅黑" w:cs="微软雅黑"/>
          <w:b w:val="0"/>
          <w:bCs w:val="0"/>
          <w:sz w:val="24"/>
          <w:szCs w:val="24"/>
        </w:rPr>
        <w:t>补齐院内疼痛客观评估科研平台短板，</w:t>
      </w:r>
      <w:r>
        <w:rPr>
          <w:rFonts w:hint="eastAsia" w:ascii="微软雅黑" w:hAnsi="微软雅黑" w:eastAsia="微软雅黑" w:cs="微软雅黑"/>
          <w:b w:val="0"/>
          <w:bCs w:val="0"/>
          <w:kern w:val="2"/>
          <w:sz w:val="24"/>
          <w:szCs w:val="24"/>
          <w:lang w:val="en-US" w:eastAsia="zh-CN"/>
        </w:rPr>
        <w:t>现需要构建</w:t>
      </w:r>
      <w:r>
        <w:rPr>
          <w:rStyle w:val="8"/>
          <w:rFonts w:hint="eastAsia" w:ascii="微软雅黑" w:hAnsi="微软雅黑" w:eastAsia="微软雅黑" w:cs="微软雅黑"/>
          <w:b/>
          <w:bCs/>
          <w:color w:val="1F2329"/>
          <w:sz w:val="24"/>
          <w:szCs w:val="24"/>
        </w:rPr>
        <w:t>软硬件一体化全流程综合技术解决方案</w:t>
      </w:r>
      <w:r>
        <w:rPr>
          <w:rFonts w:hint="eastAsia" w:ascii="微软雅黑" w:hAnsi="微软雅黑" w:eastAsia="微软雅黑" w:cs="微软雅黑"/>
          <w:b w:val="0"/>
          <w:bCs w:val="0"/>
          <w:sz w:val="24"/>
          <w:szCs w:val="24"/>
        </w:rPr>
        <w:t>，以全套生理信号采集载体、本地算力运行终端、配套实验耗材作为平台底层支撑载体，配套定制化软件系统、多模态 AI 疼痛算法、临床数据采集、系统集成部署、全周期运维保障一体化服务，一站式搭建实验室级多模态疼痛生理信号智能分析验证平台，实现疼痛客观化评价体系落地应用。</w:t>
      </w:r>
    </w:p>
    <w:p w14:paraId="3FA3CD42">
      <w:pPr>
        <w:pStyle w:val="2"/>
        <w:numPr>
          <w:ilvl w:val="0"/>
          <w:numId w:val="0"/>
        </w:numPr>
        <w:bidi w:val="0"/>
        <w:spacing w:before="0" w:after="0"/>
        <w:jc w:val="both"/>
        <w:outlineLvl w:val="0"/>
        <w:rPr>
          <w:rFonts w:hint="eastAsia" w:ascii="微软雅黑" w:hAnsi="微软雅黑" w:eastAsia="微软雅黑" w:cs="微软雅黑"/>
          <w:b w:val="0"/>
          <w:kern w:val="2"/>
          <w:sz w:val="24"/>
          <w:szCs w:val="24"/>
          <w:lang w:val="en-US" w:eastAsia="zh-CN"/>
        </w:rPr>
      </w:pPr>
    </w:p>
    <w:p w14:paraId="201C3C1D">
      <w:pPr>
        <w:pStyle w:val="2"/>
        <w:numPr>
          <w:ilvl w:val="0"/>
          <w:numId w:val="0"/>
        </w:numPr>
        <w:bidi w:val="0"/>
        <w:spacing w:before="0" w:after="0"/>
        <w:jc w:val="both"/>
        <w:outlineLvl w:val="0"/>
        <w:rPr>
          <w:rFonts w:hint="eastAsia" w:ascii="微软雅黑" w:hAnsi="微软雅黑" w:eastAsia="微软雅黑" w:cs="微软雅黑"/>
          <w:b/>
          <w:bCs/>
          <w:kern w:val="2"/>
          <w:sz w:val="24"/>
          <w:szCs w:val="24"/>
          <w:lang w:val="en-US" w:eastAsia="zh-CN"/>
        </w:rPr>
      </w:pPr>
      <w:r>
        <w:rPr>
          <w:rFonts w:hint="eastAsia" w:ascii="微软雅黑" w:hAnsi="微软雅黑" w:eastAsia="微软雅黑" w:cs="微软雅黑"/>
          <w:b/>
          <w:bCs/>
          <w:kern w:val="2"/>
          <w:sz w:val="24"/>
          <w:szCs w:val="24"/>
          <w:lang w:val="en-US" w:eastAsia="zh-CN"/>
        </w:rPr>
        <w:t>1.2项目概况</w:t>
      </w:r>
    </w:p>
    <w:p w14:paraId="683FB40B">
      <w:pPr>
        <w:rPr>
          <w:rFonts w:hint="eastAsia" w:ascii="微软雅黑" w:hAnsi="微软雅黑" w:eastAsia="微软雅黑" w:cs="微软雅黑"/>
          <w:b/>
          <w:sz w:val="24"/>
          <w:szCs w:val="24"/>
        </w:rPr>
      </w:pPr>
    </w:p>
    <w:p w14:paraId="21855B5A">
      <w:pPr>
        <w:rPr>
          <w:rFonts w:hint="eastAsia" w:ascii="微软雅黑" w:hAnsi="微软雅黑" w:eastAsia="微软雅黑" w:cs="微软雅黑"/>
          <w:sz w:val="24"/>
          <w:szCs w:val="24"/>
        </w:rPr>
      </w:pPr>
      <w:r>
        <w:rPr>
          <w:rFonts w:hint="eastAsia" w:ascii="微软雅黑" w:hAnsi="微软雅黑" w:eastAsia="微软雅黑" w:cs="微软雅黑"/>
          <w:b/>
          <w:sz w:val="24"/>
          <w:szCs w:val="24"/>
          <w:lang w:val="en-US" w:eastAsia="zh-CN"/>
        </w:rPr>
        <w:t>课题</w:t>
      </w:r>
      <w:r>
        <w:rPr>
          <w:rFonts w:hint="eastAsia" w:ascii="微软雅黑" w:hAnsi="微软雅黑" w:eastAsia="微软雅黑" w:cs="微软雅黑"/>
          <w:b/>
          <w:sz w:val="24"/>
          <w:szCs w:val="24"/>
        </w:rPr>
        <w:t>名称：</w:t>
      </w:r>
      <w:r>
        <w:rPr>
          <w:rFonts w:hint="eastAsia" w:ascii="微软雅黑" w:hAnsi="微软雅黑" w:eastAsia="微软雅黑" w:cs="微软雅黑"/>
          <w:sz w:val="24"/>
          <w:szCs w:val="24"/>
        </w:rPr>
        <w:t>​ 基于脑电与多模态生理信号融合的疼痛客观化评价体系构建与临床应用</w:t>
      </w:r>
    </w:p>
    <w:p w14:paraId="7005EE24">
      <w:pPr>
        <w:rPr>
          <w:rFonts w:hint="eastAsia" w:ascii="微软雅黑" w:hAnsi="微软雅黑" w:eastAsia="微软雅黑" w:cs="微软雅黑"/>
          <w:sz w:val="24"/>
          <w:szCs w:val="24"/>
        </w:rPr>
      </w:pPr>
      <w:r>
        <w:rPr>
          <w:rFonts w:hint="eastAsia" w:ascii="微软雅黑" w:hAnsi="微软雅黑" w:eastAsia="微软雅黑" w:cs="微软雅黑"/>
          <w:b/>
          <w:sz w:val="24"/>
          <w:szCs w:val="24"/>
          <w:lang w:val="en-US" w:eastAsia="zh-CN"/>
        </w:rPr>
        <w:t>课题编号</w:t>
      </w:r>
      <w:r>
        <w:rPr>
          <w:rFonts w:hint="eastAsia" w:ascii="微软雅黑" w:hAnsi="微软雅黑" w:eastAsia="微软雅黑" w:cs="微软雅黑"/>
          <w:b/>
          <w:sz w:val="24"/>
          <w:szCs w:val="24"/>
        </w:rPr>
        <w:t>：</w:t>
      </w:r>
      <w:r>
        <w:rPr>
          <w:rFonts w:hint="eastAsia" w:ascii="微软雅黑" w:hAnsi="微软雅黑" w:eastAsia="微软雅黑" w:cs="微软雅黑"/>
          <w:sz w:val="24"/>
          <w:szCs w:val="24"/>
        </w:rPr>
        <w:t>​ 2025-NHLHCRF-XKJS-A-04</w:t>
      </w:r>
    </w:p>
    <w:p w14:paraId="1B146599">
      <w:pPr>
        <w:pStyle w:val="2"/>
        <w:numPr>
          <w:ilvl w:val="0"/>
          <w:numId w:val="0"/>
        </w:numPr>
        <w:bidi w:val="0"/>
        <w:spacing w:before="0" w:after="0"/>
        <w:jc w:val="both"/>
        <w:outlineLvl w:val="0"/>
        <w:rPr>
          <w:rFonts w:hint="default" w:ascii="微软雅黑" w:hAnsi="微软雅黑" w:eastAsia="微软雅黑" w:cs="微软雅黑"/>
          <w:b/>
          <w:bCs/>
          <w:kern w:val="2"/>
          <w:sz w:val="24"/>
          <w:szCs w:val="24"/>
          <w:lang w:val="en-US" w:eastAsia="zh-CN"/>
        </w:rPr>
      </w:pPr>
    </w:p>
    <w:p w14:paraId="502DB2D1">
      <w:pPr>
        <w:rPr>
          <w:rFonts w:hint="eastAsia" w:ascii="微软雅黑" w:hAnsi="微软雅黑" w:eastAsia="微软雅黑" w:cs="微软雅黑"/>
          <w:b/>
          <w:sz w:val="24"/>
          <w:szCs w:val="24"/>
        </w:rPr>
      </w:pPr>
    </w:p>
    <w:p w14:paraId="2B8ADC12">
      <w:p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核心目标：</w:t>
      </w:r>
      <w:r>
        <w:rPr>
          <w:rFonts w:hint="eastAsia" w:ascii="微软雅黑" w:hAnsi="微软雅黑" w:eastAsia="微软雅黑" w:cs="微软雅黑"/>
          <w:sz w:val="24"/>
          <w:szCs w:val="24"/>
        </w:rPr>
        <w:t>​</w:t>
      </w:r>
    </w:p>
    <w:p w14:paraId="53DDED6F">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解决临床疼痛评估主观性强、缺乏客观金标准的痛点，构建多模态疼痛生理信号智能分析平台，为科研与临床转化积累高质量数据资产与算法模型。</w:t>
      </w:r>
    </w:p>
    <w:p w14:paraId="26B0DC79">
      <w:pPr>
        <w:numPr>
          <w:ilvl w:val="0"/>
          <w:numId w:val="0"/>
        </w:numPr>
        <w:ind w:leftChars="0"/>
        <w:rPr>
          <w:rFonts w:hint="eastAsia" w:ascii="微软雅黑" w:hAnsi="微软雅黑" w:eastAsia="微软雅黑" w:cs="微软雅黑"/>
          <w:sz w:val="24"/>
          <w:szCs w:val="24"/>
        </w:rPr>
      </w:pPr>
    </w:p>
    <w:p w14:paraId="6BC8F383">
      <w:pPr>
        <w:pBdr>
          <w:top w:val="single" w:color="000000" w:sz="6" w:space="0"/>
        </w:pBdr>
        <w:rPr>
          <w:rFonts w:hint="eastAsia" w:ascii="微软雅黑" w:hAnsi="微软雅黑" w:eastAsia="微软雅黑" w:cs="微软雅黑"/>
          <w:sz w:val="24"/>
          <w:szCs w:val="24"/>
        </w:rPr>
      </w:pPr>
    </w:p>
    <w:p w14:paraId="0CBD11F8">
      <w:pPr>
        <w:bidi w:val="0"/>
        <w:rPr>
          <w:rFonts w:hint="eastAsia" w:ascii="微软雅黑" w:hAnsi="微软雅黑" w:eastAsia="微软雅黑" w:cs="微软雅黑"/>
          <w:b/>
          <w:bCs/>
          <w:sz w:val="28"/>
          <w:szCs w:val="28"/>
          <w:lang w:val="en-US" w:eastAsia="zh-CN"/>
        </w:rPr>
      </w:pPr>
      <w:bookmarkStart w:id="1" w:name="mqiusehrx90z2w6l8zi"/>
    </w:p>
    <w:p w14:paraId="75C7E01F">
      <w:pPr>
        <w:bidi w:val="0"/>
        <w:rPr>
          <w:rFonts w:hint="eastAsia" w:ascii="微软雅黑" w:hAnsi="微软雅黑" w:eastAsia="微软雅黑" w:cs="微软雅黑"/>
          <w:b/>
          <w:bCs/>
          <w:sz w:val="28"/>
          <w:szCs w:val="28"/>
          <w:lang w:val="en-US" w:eastAsia="zh-CN"/>
        </w:rPr>
      </w:pPr>
    </w:p>
    <w:p w14:paraId="4CCFE224">
      <w:pPr>
        <w:bidi w:val="0"/>
        <w:rPr>
          <w:rFonts w:hint="eastAsia" w:ascii="微软雅黑" w:hAnsi="微软雅黑" w:eastAsia="微软雅黑" w:cs="微软雅黑"/>
          <w:b/>
          <w:bCs/>
          <w:sz w:val="28"/>
          <w:szCs w:val="28"/>
          <w:lang w:val="en-US" w:eastAsia="zh-CN"/>
        </w:rPr>
      </w:pPr>
    </w:p>
    <w:p w14:paraId="48E1D6E3">
      <w:pPr>
        <w:bidi w:val="0"/>
        <w:rPr>
          <w:rFonts w:hint="eastAsia" w:ascii="微软雅黑" w:hAnsi="微软雅黑" w:eastAsia="微软雅黑" w:cs="微软雅黑"/>
          <w:sz w:val="24"/>
          <w:szCs w:val="24"/>
        </w:rPr>
      </w:pPr>
      <w:r>
        <w:rPr>
          <w:rFonts w:hint="eastAsia" w:ascii="微软雅黑" w:hAnsi="微软雅黑" w:eastAsia="微软雅黑" w:cs="微软雅黑"/>
          <w:b/>
          <w:bCs/>
          <w:sz w:val="28"/>
          <w:szCs w:val="28"/>
          <w:lang w:val="en-US" w:eastAsia="zh-CN"/>
        </w:rPr>
        <w:t>二</w:t>
      </w:r>
      <w:r>
        <w:rPr>
          <w:rFonts w:hint="eastAsia" w:ascii="微软雅黑" w:hAnsi="微软雅黑" w:eastAsia="微软雅黑" w:cs="微软雅黑"/>
          <w:b/>
          <w:bCs/>
          <w:sz w:val="28"/>
          <w:szCs w:val="28"/>
        </w:rPr>
        <w:t>、 一体化综合技术服务内容</w:t>
      </w:r>
      <w:r>
        <w:rPr>
          <w:rFonts w:hint="eastAsia" w:ascii="微软雅黑" w:hAnsi="微软雅黑" w:eastAsia="微软雅黑" w:cs="微软雅黑"/>
          <w:b/>
          <w:bCs w:val="0"/>
          <w:sz w:val="24"/>
          <w:szCs w:val="24"/>
        </w:rPr>
        <w:br w:type="textWrapping"/>
      </w:r>
      <w:bookmarkEnd w:id="1"/>
    </w:p>
    <w:p w14:paraId="27A89A05">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服务商负责提供、部署、运维本项目科研所需全部运行载体与实验耗材，所有设备技术参数、使用标准完全满足院内科研需求，配套载体仅作为平台运行支撑条件，不单独开展采购验收，配套资源及配套服务内容如下：</w:t>
      </w:r>
    </w:p>
    <w:p w14:paraId="0FAD084B">
      <w:pPr>
        <w:pStyle w:val="2"/>
        <w:bidi w:val="0"/>
        <w:rPr>
          <w:rFonts w:hint="eastAsia" w:ascii="微软雅黑" w:hAnsi="微软雅黑" w:eastAsia="微软雅黑" w:cs="微软雅黑"/>
          <w:sz w:val="24"/>
          <w:szCs w:val="24"/>
        </w:rPr>
      </w:pPr>
      <w:bookmarkStart w:id="2" w:name="mqiusehs50v2kk8th2d"/>
      <w:r>
        <w:rPr>
          <w:rFonts w:hint="eastAsia" w:ascii="微软雅黑" w:hAnsi="微软雅黑" w:eastAsia="微软雅黑" w:cs="微软雅黑"/>
          <w:sz w:val="24"/>
          <w:szCs w:val="24"/>
          <w:lang w:val="en-US" w:eastAsia="zh-CN"/>
        </w:rPr>
        <w:t>2.1</w:t>
      </w:r>
      <w:r>
        <w:rPr>
          <w:rFonts w:hint="eastAsia" w:ascii="微软雅黑" w:hAnsi="微软雅黑" w:eastAsia="微软雅黑" w:cs="微软雅黑"/>
          <w:sz w:val="24"/>
          <w:szCs w:val="24"/>
        </w:rPr>
        <w:t>平台配套支撑载体配套及运维服务</w:t>
      </w:r>
      <w:r>
        <w:rPr>
          <w:rFonts w:hint="eastAsia" w:ascii="微软雅黑" w:hAnsi="微软雅黑" w:eastAsia="微软雅黑" w:cs="微软雅黑"/>
          <w:sz w:val="24"/>
          <w:szCs w:val="24"/>
        </w:rPr>
        <w:br w:type="textWrapping"/>
      </w:r>
      <w:bookmarkEnd w:id="2"/>
    </w:p>
    <w:tbl>
      <w:tblPr>
        <w:tblStyle w:val="11"/>
        <w:tblW w:w="10977" w:type="dxa"/>
        <w:jc w:val="center"/>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Layout w:type="autofit"/>
        <w:tblCellMar>
          <w:top w:w="0" w:type="dxa"/>
          <w:left w:w="108" w:type="dxa"/>
          <w:bottom w:w="0" w:type="dxa"/>
          <w:right w:w="108" w:type="dxa"/>
        </w:tblCellMar>
      </w:tblPr>
      <w:tblGrid>
        <w:gridCol w:w="1232"/>
        <w:gridCol w:w="2007"/>
        <w:gridCol w:w="4786"/>
        <w:gridCol w:w="2952"/>
      </w:tblGrid>
      <w:tr w14:paraId="6FCBC1FE">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blHeader/>
          <w:jc w:val="center"/>
        </w:trPr>
        <w:tc>
          <w:tcPr>
            <w:tcW w:w="0" w:type="auto"/>
            <w:tcBorders>
              <w:top w:val="single" w:color="E0E0E0" w:sz="6" w:space="0"/>
              <w:left w:val="single" w:color="E0E0E0" w:sz="6" w:space="0"/>
              <w:bottom w:val="single" w:color="E0E0E0" w:sz="6" w:space="0"/>
              <w:right w:val="single" w:color="E0E0E0" w:sz="6" w:space="0"/>
            </w:tcBorders>
            <w:vAlign w:val="center"/>
          </w:tcPr>
          <w:p w14:paraId="4F194880">
            <w:pPr>
              <w:keepNext/>
              <w:snapToGrid w:val="0"/>
              <w:ind w:left="0" w:leftChars="0" w:right="0" w:rightChars="0" w:firstLine="0" w:firstLineChars="0"/>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类别</w:t>
            </w:r>
          </w:p>
        </w:tc>
        <w:tc>
          <w:tcPr>
            <w:tcW w:w="0" w:type="auto"/>
            <w:tcBorders>
              <w:top w:val="single" w:color="E0E0E0" w:sz="6" w:space="0"/>
              <w:left w:val="single" w:color="E0E0E0" w:sz="6" w:space="0"/>
              <w:bottom w:val="single" w:color="E0E0E0" w:sz="6" w:space="0"/>
              <w:right w:val="single" w:color="E0E0E0" w:sz="6" w:space="0"/>
            </w:tcBorders>
            <w:vAlign w:val="center"/>
          </w:tcPr>
          <w:p w14:paraId="7E7A9DE7">
            <w:pPr>
              <w:keepNext/>
              <w:snapToGrid w:val="0"/>
              <w:ind w:left="0" w:leftChars="0" w:right="0" w:rightChars="0" w:firstLine="0" w:firstLineChars="0"/>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名称/型号</w:t>
            </w:r>
          </w:p>
        </w:tc>
        <w:tc>
          <w:tcPr>
            <w:tcW w:w="0" w:type="auto"/>
            <w:tcBorders>
              <w:top w:val="single" w:color="E0E0E0" w:sz="6" w:space="0"/>
              <w:left w:val="single" w:color="E0E0E0" w:sz="6" w:space="0"/>
              <w:bottom w:val="single" w:color="E0E0E0" w:sz="6" w:space="0"/>
              <w:right w:val="single" w:color="E0E0E0" w:sz="6" w:space="0"/>
            </w:tcBorders>
            <w:vAlign w:val="center"/>
          </w:tcPr>
          <w:p w14:paraId="35EDE910">
            <w:pPr>
              <w:keepNext/>
              <w:snapToGrid w:val="0"/>
              <w:ind w:left="0" w:leftChars="0" w:right="0" w:rightChars="0" w:firstLine="0" w:firstLineChars="0"/>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详细配置与参数</w:t>
            </w:r>
          </w:p>
        </w:tc>
        <w:tc>
          <w:tcPr>
            <w:tcW w:w="2952" w:type="dxa"/>
            <w:tcBorders>
              <w:top w:val="single" w:color="E0E0E0" w:sz="6" w:space="0"/>
              <w:left w:val="single" w:color="E0E0E0" w:sz="6" w:space="0"/>
              <w:bottom w:val="single" w:color="E0E0E0" w:sz="6" w:space="0"/>
              <w:right w:val="single" w:color="E0E0E0" w:sz="6" w:space="0"/>
            </w:tcBorders>
            <w:vAlign w:val="center"/>
          </w:tcPr>
          <w:p w14:paraId="2224B235">
            <w:pPr>
              <w:keepNext/>
              <w:snapToGrid w:val="0"/>
              <w:ind w:left="0" w:leftChars="0" w:right="0" w:rightChars="0" w:firstLine="0" w:firstLineChars="0"/>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备注</w:t>
            </w:r>
          </w:p>
        </w:tc>
      </w:tr>
      <w:tr w14:paraId="20353ABB">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jc w:val="center"/>
        </w:trPr>
        <w:tc>
          <w:tcPr>
            <w:tcW w:w="0" w:type="auto"/>
            <w:tcBorders>
              <w:top w:val="single" w:color="E0E0E0" w:sz="6" w:space="0"/>
              <w:left w:val="single" w:color="E0E0E0" w:sz="6" w:space="0"/>
              <w:bottom w:val="single" w:color="E0E0E0" w:sz="6" w:space="0"/>
              <w:right w:val="single" w:color="E0E0E0" w:sz="6" w:space="0"/>
            </w:tcBorders>
            <w:vAlign w:val="center"/>
          </w:tcPr>
          <w:p w14:paraId="6547CFA7">
            <w:pPr>
              <w:keepNext/>
              <w:snapToGrid w:val="0"/>
              <w:ind w:left="0" w:leftChars="0" w:right="0" w:rightChars="0" w:firstLine="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脑电信号采集与数据分析配套载体服务</w:t>
            </w:r>
          </w:p>
        </w:tc>
        <w:tc>
          <w:tcPr>
            <w:tcW w:w="0" w:type="auto"/>
            <w:tcBorders>
              <w:top w:val="single" w:color="E0E0E0" w:sz="6" w:space="0"/>
              <w:left w:val="single" w:color="E0E0E0" w:sz="6" w:space="0"/>
              <w:bottom w:val="single" w:color="E0E0E0" w:sz="6" w:space="0"/>
              <w:right w:val="single" w:color="E0E0E0" w:sz="6" w:space="0"/>
            </w:tcBorders>
            <w:vAlign w:val="center"/>
          </w:tcPr>
          <w:p w14:paraId="02C1A7DB">
            <w:pPr>
              <w:keepNext/>
              <w:snapToGrid w:val="0"/>
              <w:ind w:left="0" w:leftChars="0" w:right="0" w:rightChars="0" w:firstLine="0" w:firstLineChars="0"/>
              <w:jc w:val="left"/>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rPr>
              <w:t>ANT 32导脑电放大器</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1台）</w:t>
            </w:r>
          </w:p>
        </w:tc>
        <w:tc>
          <w:tcPr>
            <w:tcW w:w="0" w:type="auto"/>
            <w:tcBorders>
              <w:top w:val="single" w:color="E0E0E0" w:sz="6" w:space="0"/>
              <w:left w:val="single" w:color="E0E0E0" w:sz="6" w:space="0"/>
              <w:bottom w:val="single" w:color="E0E0E0" w:sz="6" w:space="0"/>
              <w:right w:val="single" w:color="E0E0E0" w:sz="6" w:space="0"/>
            </w:tcBorders>
            <w:vAlign w:val="center"/>
          </w:tcPr>
          <w:p w14:paraId="5C029627">
            <w:pPr>
              <w:keepNext/>
              <w:snapToGrid w:val="0"/>
              <w:ind w:left="0" w:leftChars="0" w:right="0" w:rightChars="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1. 通道数：32导</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2. 采样率：8kHz</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3. 分辨率：24bit</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4. 输入噪声：&lt;1.0μV RMS</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5. CMRR：≥100dB</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 xml:space="preserve">6. </w:t>
            </w:r>
            <w:r>
              <w:rPr>
                <w:rFonts w:hint="eastAsia" w:ascii="微软雅黑" w:hAnsi="微软雅黑" w:eastAsia="微软雅黑" w:cs="微软雅黑"/>
                <w:b/>
                <w:sz w:val="24"/>
                <w:szCs w:val="24"/>
              </w:rPr>
              <w:t>存储方式：数据直存本地，设备不联网</w:t>
            </w:r>
            <w:r>
              <w:rPr>
                <w:rFonts w:hint="eastAsia" w:ascii="微软雅黑" w:hAnsi="微软雅黑" w:eastAsia="微软雅黑" w:cs="微软雅黑"/>
                <w:sz w:val="24"/>
                <w:szCs w:val="24"/>
              </w:rPr>
              <w:t>​</w:t>
            </w:r>
          </w:p>
        </w:tc>
        <w:tc>
          <w:tcPr>
            <w:tcW w:w="2952" w:type="dxa"/>
            <w:tcBorders>
              <w:top w:val="single" w:color="E0E0E0" w:sz="6" w:space="0"/>
              <w:left w:val="single" w:color="E0E0E0" w:sz="6" w:space="0"/>
              <w:bottom w:val="single" w:color="E0E0E0" w:sz="6" w:space="0"/>
              <w:right w:val="single" w:color="E0E0E0" w:sz="6" w:space="0"/>
            </w:tcBorders>
            <w:vAlign w:val="center"/>
          </w:tcPr>
          <w:p w14:paraId="01675D0C">
            <w:pPr>
              <w:keepNext/>
              <w:snapToGrid w:val="0"/>
              <w:ind w:left="0" w:leftChars="0" w:right="0" w:rightChars="0" w:firstLine="0" w:firstLineChars="0"/>
              <w:jc w:val="left"/>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rPr>
              <w:t>提供整套设备配套使用服务，含设备运输、院内点位安装、校准调试、故障上门检修，完成与采集软件驱动适配，一站式完成脑电、心电高精度同步数据采集、原始信号存储、脑电特征提取与基础数据分析运算，支撑全流程生理信号检测、量化评估及科研数据挖掘工作</w:t>
            </w:r>
          </w:p>
        </w:tc>
      </w:tr>
      <w:tr w14:paraId="02A70DC0">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jc w:val="center"/>
        </w:trPr>
        <w:tc>
          <w:tcPr>
            <w:tcW w:w="0" w:type="auto"/>
            <w:tcBorders>
              <w:top w:val="single" w:color="E0E0E0" w:sz="6" w:space="0"/>
              <w:left w:val="single" w:color="E0E0E0" w:sz="6" w:space="0"/>
              <w:bottom w:val="single" w:color="E0E0E0" w:sz="6" w:space="0"/>
              <w:right w:val="single" w:color="E0E0E0" w:sz="6" w:space="0"/>
            </w:tcBorders>
            <w:vAlign w:val="center"/>
          </w:tcPr>
          <w:p w14:paraId="08059E19">
            <w:pPr>
              <w:keepNext/>
              <w:snapToGrid w:val="0"/>
              <w:ind w:left="0" w:leftChars="0" w:right="0" w:rightChars="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院内离线算力支撑</w:t>
            </w:r>
            <w:r>
              <w:rPr>
                <w:rFonts w:hint="eastAsia" w:ascii="微软雅黑" w:hAnsi="微软雅黑" w:eastAsia="微软雅黑" w:cs="微软雅黑"/>
                <w:sz w:val="24"/>
                <w:szCs w:val="24"/>
                <w:lang w:val="en-US" w:eastAsia="zh-CN"/>
              </w:rPr>
              <w:t>服务</w:t>
            </w:r>
            <w:r>
              <w:rPr>
                <w:rFonts w:hint="eastAsia" w:ascii="微软雅黑" w:hAnsi="微软雅黑" w:eastAsia="微软雅黑" w:cs="微软雅黑"/>
                <w:sz w:val="24"/>
                <w:szCs w:val="24"/>
              </w:rPr>
              <w:t>（全项目周期配套）</w:t>
            </w:r>
          </w:p>
        </w:tc>
        <w:tc>
          <w:tcPr>
            <w:tcW w:w="0" w:type="auto"/>
            <w:tcBorders>
              <w:top w:val="single" w:color="E0E0E0" w:sz="6" w:space="0"/>
              <w:left w:val="single" w:color="E0E0E0" w:sz="6" w:space="0"/>
              <w:bottom w:val="single" w:color="E0E0E0" w:sz="6" w:space="0"/>
              <w:right w:val="single" w:color="E0E0E0" w:sz="6" w:space="0"/>
            </w:tcBorders>
            <w:vAlign w:val="center"/>
          </w:tcPr>
          <w:p w14:paraId="55F3D1BD">
            <w:pPr>
              <w:keepNext/>
              <w:snapToGrid w:val="0"/>
              <w:ind w:left="0" w:leftChars="0" w:right="0" w:rightChars="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戴尔 Precision T7960</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深度学习工作站</w:t>
            </w:r>
          </w:p>
        </w:tc>
        <w:tc>
          <w:tcPr>
            <w:tcW w:w="0" w:type="auto"/>
            <w:tcBorders>
              <w:top w:val="single" w:color="E0E0E0" w:sz="6" w:space="0"/>
              <w:left w:val="single" w:color="E0E0E0" w:sz="6" w:space="0"/>
              <w:bottom w:val="single" w:color="E0E0E0" w:sz="6" w:space="0"/>
              <w:right w:val="single" w:color="E0E0E0" w:sz="6" w:space="0"/>
            </w:tcBorders>
            <w:vAlign w:val="center"/>
          </w:tcPr>
          <w:p w14:paraId="521F872A">
            <w:pPr>
              <w:keepNext/>
              <w:snapToGrid w:val="0"/>
              <w:ind w:left="0" w:leftChars="0" w:right="0" w:rightChars="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1. CPU：Intel W-9 3595X (30核)</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2. 内存：64GB DDR5</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3. 存储：512GB SSD + 8TB HDD</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4. 显卡：NVIDIA RTX 5090 (32GB)</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 xml:space="preserve">5. </w:t>
            </w:r>
            <w:r>
              <w:rPr>
                <w:rFonts w:hint="eastAsia" w:ascii="微软雅黑" w:hAnsi="微软雅黑" w:eastAsia="微软雅黑" w:cs="微软雅黑"/>
                <w:b/>
                <w:sz w:val="24"/>
                <w:szCs w:val="24"/>
              </w:rPr>
              <w:t>网络策略：物理禁用无线，仅限院内局域网</w:t>
            </w:r>
            <w:r>
              <w:rPr>
                <w:rFonts w:hint="eastAsia" w:ascii="微软雅黑" w:hAnsi="微软雅黑" w:eastAsia="微软雅黑" w:cs="微软雅黑"/>
                <w:sz w:val="24"/>
                <w:szCs w:val="24"/>
              </w:rPr>
              <w:t>​</w:t>
            </w:r>
          </w:p>
        </w:tc>
        <w:tc>
          <w:tcPr>
            <w:tcW w:w="2952" w:type="dxa"/>
            <w:tcBorders>
              <w:top w:val="single" w:color="E0E0E0" w:sz="6" w:space="0"/>
              <w:left w:val="single" w:color="E0E0E0" w:sz="6" w:space="0"/>
              <w:bottom w:val="single" w:color="E0E0E0" w:sz="6" w:space="0"/>
              <w:right w:val="single" w:color="E0E0E0" w:sz="6" w:space="0"/>
            </w:tcBorders>
            <w:vAlign w:val="center"/>
          </w:tcPr>
          <w:p w14:paraId="61FCCCA1">
            <w:pPr>
              <w:keepNext/>
              <w:snapToGrid w:val="0"/>
              <w:ind w:left="0" w:leftChars="0" w:right="0" w:rightChars="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整机部署、离线运算环境搭建、GPU 驱动适配、数据库部署；项目周期内定期巡检、故障 4 小时内上门处置，用于本地 AI 模型训练、推理与院内数据管理</w:t>
            </w:r>
          </w:p>
        </w:tc>
      </w:tr>
      <w:tr w14:paraId="39A3C695">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jc w:val="center"/>
        </w:trPr>
        <w:tc>
          <w:tcPr>
            <w:tcW w:w="1232" w:type="dxa"/>
            <w:tcBorders>
              <w:top w:val="single" w:color="E0E0E0" w:sz="6" w:space="0"/>
              <w:left w:val="single" w:color="E0E0E0" w:sz="6" w:space="0"/>
              <w:bottom w:val="single" w:color="E0E0E0" w:sz="6" w:space="0"/>
              <w:right w:val="single" w:color="E0E0E0" w:sz="6" w:space="0"/>
            </w:tcBorders>
            <w:vAlign w:val="center"/>
          </w:tcPr>
          <w:p w14:paraId="14E80044">
            <w:pPr>
              <w:keepNext/>
              <w:snapToGrid w:val="0"/>
              <w:ind w:left="0" w:leftChars="0" w:right="0" w:rightChars="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临床实验耗材配套保障服务​</w:t>
            </w:r>
          </w:p>
        </w:tc>
        <w:tc>
          <w:tcPr>
            <w:tcW w:w="2007" w:type="dxa"/>
            <w:tcBorders>
              <w:top w:val="single" w:color="E0E0E0" w:sz="6" w:space="0"/>
              <w:left w:val="single" w:color="E0E0E0" w:sz="6" w:space="0"/>
              <w:bottom w:val="single" w:color="E0E0E0" w:sz="6" w:space="0"/>
              <w:right w:val="single" w:color="E0E0E0" w:sz="6" w:space="0"/>
            </w:tcBorders>
            <w:vAlign w:val="center"/>
          </w:tcPr>
          <w:p w14:paraId="7ABE8595">
            <w:pPr>
              <w:keepNext/>
              <w:snapToGrid w:val="0"/>
              <w:ind w:left="0" w:leftChars="0" w:right="0" w:rightChars="0" w:firstLine="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实验耗材</w:t>
            </w:r>
            <w:r>
              <w:rPr>
                <w:rFonts w:hint="eastAsia" w:ascii="微软雅黑" w:hAnsi="微软雅黑" w:eastAsia="微软雅黑" w:cs="微软雅黑"/>
                <w:sz w:val="24"/>
                <w:szCs w:val="24"/>
                <w:lang w:val="en-US" w:eastAsia="zh-CN"/>
              </w:rPr>
              <w:t>配套包</w:t>
            </w:r>
          </w:p>
        </w:tc>
        <w:tc>
          <w:tcPr>
            <w:tcW w:w="4786" w:type="dxa"/>
            <w:tcBorders>
              <w:top w:val="single" w:color="E0E0E0" w:sz="6" w:space="0"/>
              <w:left w:val="single" w:color="E0E0E0" w:sz="6" w:space="0"/>
              <w:bottom w:val="single" w:color="E0E0E0" w:sz="6" w:space="0"/>
              <w:right w:val="single" w:color="E0E0E0" w:sz="6" w:space="0"/>
            </w:tcBorders>
            <w:vAlign w:val="center"/>
          </w:tcPr>
          <w:p w14:paraId="21F17E9A">
            <w:pPr>
              <w:keepNext/>
              <w:snapToGrid w:val="0"/>
              <w:ind w:left="0" w:leftChars="0" w:right="0" w:rightChars="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包含：导电膏、32导电极帽、磨砂膏</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医疗二类证）</w:t>
            </w:r>
            <w:r>
              <w:rPr>
                <w:rFonts w:hint="eastAsia" w:ascii="微软雅黑" w:hAnsi="微软雅黑" w:eastAsia="微软雅黑" w:cs="微软雅黑"/>
                <w:sz w:val="24"/>
                <w:szCs w:val="24"/>
              </w:rPr>
              <w:t>、酒精棉片、一次性电极片等。</w:t>
            </w:r>
            <w:r>
              <w:rPr>
                <w:rFonts w:hint="eastAsia" w:ascii="微软雅黑" w:hAnsi="微软雅黑" w:eastAsia="微软雅黑" w:cs="微软雅黑"/>
                <w:sz w:val="24"/>
                <w:szCs w:val="24"/>
              </w:rPr>
              <w:br w:type="textWrapping"/>
            </w:r>
            <w:r>
              <w:rPr>
                <w:rFonts w:hint="eastAsia" w:ascii="微软雅黑" w:hAnsi="微软雅黑" w:eastAsia="微软雅黑" w:cs="微软雅黑"/>
                <w:b/>
                <w:sz w:val="24"/>
                <w:szCs w:val="24"/>
              </w:rPr>
              <w:t>数量：</w:t>
            </w:r>
            <w:r>
              <w:rPr>
                <w:rFonts w:hint="eastAsia" w:ascii="微软雅黑" w:hAnsi="微软雅黑" w:eastAsia="微软雅黑" w:cs="微软雅黑"/>
                <w:sz w:val="24"/>
                <w:szCs w:val="24"/>
              </w:rPr>
              <w:t>​ 满足130例受试者采集需求。</w:t>
            </w:r>
          </w:p>
        </w:tc>
        <w:tc>
          <w:tcPr>
            <w:tcW w:w="2952" w:type="dxa"/>
            <w:tcBorders>
              <w:top w:val="single" w:color="E0E0E0" w:sz="6" w:space="0"/>
              <w:left w:val="single" w:color="E0E0E0" w:sz="6" w:space="0"/>
              <w:bottom w:val="single" w:color="E0E0E0" w:sz="6" w:space="0"/>
              <w:right w:val="single" w:color="E0E0E0" w:sz="6" w:space="0"/>
            </w:tcBorders>
            <w:vAlign w:val="center"/>
          </w:tcPr>
          <w:p w14:paraId="0ED09C19">
            <w:pPr>
              <w:keepNext/>
              <w:snapToGrid w:val="0"/>
              <w:ind w:left="0" w:leftChars="0" w:right="0" w:rightChars="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项目全程按需补给耗材，定期盘点库存，保障临床受试者数据采集工作不间断开展</w:t>
            </w:r>
          </w:p>
        </w:tc>
      </w:tr>
    </w:tbl>
    <w:p w14:paraId="651071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微软雅黑" w:hAnsi="微软雅黑" w:eastAsia="微软雅黑" w:cs="微软雅黑"/>
          <w:color w:val="1F2329"/>
          <w:sz w:val="24"/>
          <w:szCs w:val="24"/>
        </w:rPr>
      </w:pPr>
    </w:p>
    <w:p w14:paraId="1E3C7438">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2.2 多模态信号处理与特征工程技术服务</w:t>
      </w:r>
    </w:p>
    <w:p w14:paraId="441F9FB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依托配套采集载体开发信号自动化预处理模块，实现原始脑电、心电信号降噪、自动去伪迹；</w:t>
      </w:r>
    </w:p>
    <w:p w14:paraId="5EDEA37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搭建标准化提取流程，统一提取时域、频域、非线性及脑 - 心耦合多维度生理特征；</w:t>
      </w:r>
    </w:p>
    <w:p w14:paraId="4CD48D0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打通采集载体与算力终端数据传输链路，实现多模态信号本地安全读写、离线存储。</w:t>
      </w:r>
    </w:p>
    <w:p w14:paraId="0791E35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jc w:val="left"/>
        <w:rPr>
          <w:rFonts w:hint="eastAsia" w:ascii="微软雅黑" w:hAnsi="微软雅黑" w:eastAsia="微软雅黑" w:cs="微软雅黑"/>
          <w:color w:val="1F2329"/>
          <w:sz w:val="24"/>
          <w:szCs w:val="24"/>
        </w:rPr>
      </w:pPr>
    </w:p>
    <w:p w14:paraId="78E1D99B">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2.3 AI 疼痛评估模型定制开发适配服务</w:t>
      </w:r>
    </w:p>
    <w:p w14:paraId="660202A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基于迁移学习方案，依托 PainFormer、DeepSleepNet 主流架构完成多模态融合模型微调开发；</w:t>
      </w:r>
    </w:p>
    <w:p w14:paraId="2838CE2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适配院内离线算力环境搭建双阶段 AI 疼痛评估模型，完成临床数据训练、性能验证；</w:t>
      </w:r>
    </w:p>
    <w:p w14:paraId="7A14B3E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输出全套模型测试、优化文档，保障模型在项目配套算力载体稳定离线推理运行。</w:t>
      </w:r>
    </w:p>
    <w:p w14:paraId="6689BD4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jc w:val="left"/>
        <w:rPr>
          <w:rFonts w:hint="eastAsia" w:ascii="微软雅黑" w:hAnsi="微软雅黑" w:eastAsia="微软雅黑" w:cs="微软雅黑"/>
          <w:color w:val="1F2329"/>
          <w:sz w:val="24"/>
          <w:szCs w:val="24"/>
        </w:rPr>
      </w:pPr>
    </w:p>
    <w:p w14:paraId="30DE5A60">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2.4 本地化采集分析软件与脱敏数据库搭建服务</w:t>
      </w:r>
    </w:p>
    <w:p w14:paraId="100D8C1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开发适配本项目全部支撑载体的可视化采集分析软件，实现设备一键联动、信号实时采集；</w:t>
      </w:r>
    </w:p>
    <w:p w14:paraId="497F85D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搭建院内离线数据库，完成受试者信息脱敏存储（仅留存编号，不存储隐私信息），数据全程本地留存；</w:t>
      </w:r>
    </w:p>
    <w:p w14:paraId="510B394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完成软件、数据库在内网隔离环境一体化部署、软硬件联调测试，交付完整操作使用文档。</w:t>
      </w:r>
    </w:p>
    <w:p w14:paraId="4B57C29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jc w:val="left"/>
        <w:rPr>
          <w:rFonts w:hint="eastAsia" w:ascii="微软雅黑" w:hAnsi="微软雅黑" w:eastAsia="微软雅黑" w:cs="微软雅黑"/>
          <w:color w:val="1F2329"/>
          <w:sz w:val="24"/>
          <w:szCs w:val="24"/>
        </w:rPr>
      </w:pPr>
    </w:p>
    <w:p w14:paraId="7F5DD9DF">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2.5 临床数据采集与科研数据库建设服务</w:t>
      </w:r>
    </w:p>
    <w:p w14:paraId="33AC45D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结合配套载体使用规范，制定标准化多模态生理信号采集范式、质量控制流程；</w:t>
      </w:r>
    </w:p>
    <w:p w14:paraId="1BB85F31">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完成不少于 130 例受试者（慢性神经病理性疼痛患者 + 健康对照）前瞻性数据采集；</w:t>
      </w:r>
    </w:p>
    <w:p w14:paraId="5B45625A">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依托项目算力终端完成原始信号、临床信息归档，建成院内可溯源、可复用标准化疼痛生理数据库。</w:t>
      </w:r>
    </w:p>
    <w:p w14:paraId="1503A58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jc w:val="left"/>
        <w:rPr>
          <w:rFonts w:hint="eastAsia" w:ascii="微软雅黑" w:hAnsi="微软雅黑" w:eastAsia="微软雅黑" w:cs="微软雅黑"/>
          <w:color w:val="1F2329"/>
          <w:sz w:val="24"/>
          <w:szCs w:val="24"/>
        </w:rPr>
      </w:pPr>
    </w:p>
    <w:p w14:paraId="41730E5E">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2.6 临床转化配套技术服务</w:t>
      </w:r>
    </w:p>
    <w:p w14:paraId="368072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微软雅黑" w:hAnsi="微软雅黑" w:eastAsia="微软雅黑" w:cs="微软雅黑"/>
          <w:color w:val="1F2329"/>
          <w:kern w:val="0"/>
          <w:sz w:val="24"/>
          <w:szCs w:val="24"/>
          <w:lang w:val="en-US" w:eastAsia="zh-CN" w:bidi="ar"/>
        </w:rPr>
      </w:pPr>
      <w:r>
        <w:rPr>
          <w:rFonts w:hint="eastAsia" w:ascii="微软雅黑" w:hAnsi="微软雅黑" w:eastAsia="微软雅黑" w:cs="微软雅黑"/>
          <w:color w:val="1F2329"/>
          <w:kern w:val="0"/>
          <w:sz w:val="24"/>
          <w:szCs w:val="24"/>
          <w:lang w:val="en-US" w:eastAsia="zh-CN" w:bidi="ar"/>
        </w:rPr>
        <w:t>编制适配本院使用的多模态疼痛评估标准化操作规程，明确配套载体操作、软件采集流程、数据质控、评估结果解读全流程标准；出具完整技术转化方案，支撑后续多中心临床研究、疼痛诊疗技术落地推广。</w:t>
      </w:r>
    </w:p>
    <w:p w14:paraId="62250C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微软雅黑" w:hAnsi="微软雅黑" w:eastAsia="微软雅黑" w:cs="微软雅黑"/>
          <w:color w:val="1F2329"/>
          <w:kern w:val="0"/>
          <w:sz w:val="24"/>
          <w:szCs w:val="24"/>
          <w:lang w:val="en-US" w:eastAsia="zh-CN" w:bidi="ar"/>
        </w:rPr>
      </w:pPr>
    </w:p>
    <w:p w14:paraId="0E82ED7C">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2.7 全周期技术支持与运维保障服务</w:t>
      </w:r>
    </w:p>
    <w:p w14:paraId="11499468">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项目实施全流程软硬件一体化技术支撑，数据采集、模型训练、系统集成关键阶段，安排工程师提供不少于 4 次院内现场驻场调试；</w:t>
      </w:r>
    </w:p>
    <w:p w14:paraId="59AB62A4">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项目整体验收交付后，提供不少于 6 个月免费</w:t>
      </w:r>
      <w:r>
        <w:rPr>
          <w:rFonts w:hint="eastAsia" w:ascii="微软雅黑" w:hAnsi="微软雅黑" w:eastAsia="微软雅黑" w:cs="微软雅黑"/>
          <w:color w:val="1F2329"/>
          <w:sz w:val="24"/>
          <w:szCs w:val="24"/>
          <w:lang w:val="en-US" w:eastAsia="zh-CN"/>
        </w:rPr>
        <w:t>到场</w:t>
      </w:r>
      <w:r>
        <w:rPr>
          <w:rFonts w:hint="eastAsia" w:ascii="微软雅黑" w:hAnsi="微软雅黑" w:eastAsia="微软雅黑" w:cs="微软雅黑"/>
          <w:color w:val="1F2329"/>
          <w:sz w:val="24"/>
          <w:szCs w:val="24"/>
        </w:rPr>
        <w:t>运维服务；</w:t>
      </w:r>
    </w:p>
    <w:p w14:paraId="29C96DCE">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面向院内科研人员开展操作培训，覆盖载体使用、软件操作、数据导出、基础故障排查；</w:t>
      </w:r>
    </w:p>
    <w:p w14:paraId="0987F73B">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rFonts w:hint="eastAsia" w:ascii="微软雅黑" w:hAnsi="微软雅黑" w:eastAsia="微软雅黑" w:cs="微软雅黑"/>
          <w:color w:val="1F2329"/>
          <w:sz w:val="24"/>
          <w:szCs w:val="24"/>
        </w:rPr>
      </w:pPr>
      <w:r>
        <w:rPr>
          <w:rFonts w:hint="eastAsia" w:ascii="微软雅黑" w:hAnsi="微软雅黑" w:eastAsia="微软雅黑" w:cs="微软雅黑"/>
          <w:color w:val="1F2329"/>
          <w:sz w:val="24"/>
          <w:szCs w:val="24"/>
        </w:rPr>
        <w:t>完整交付全套项目归档技术资料，包含平台部署图纸、算法说明、操作手册、验收测试报告。</w:t>
      </w:r>
    </w:p>
    <w:p w14:paraId="655326FA">
      <w:pPr>
        <w:pStyle w:val="3"/>
        <w:bidi w:val="0"/>
        <w:rPr>
          <w:rFonts w:hint="eastAsia" w:ascii="微软雅黑" w:hAnsi="微软雅黑" w:eastAsia="微软雅黑" w:cs="微软雅黑"/>
          <w:sz w:val="24"/>
          <w:szCs w:val="24"/>
        </w:rPr>
      </w:pPr>
    </w:p>
    <w:p w14:paraId="78C1FB8C">
      <w:pPr>
        <w:pBdr>
          <w:top w:val="single" w:color="000000" w:sz="6" w:space="0"/>
        </w:pBdr>
        <w:rPr>
          <w:rFonts w:hint="eastAsia" w:ascii="微软雅黑" w:hAnsi="微软雅黑" w:eastAsia="微软雅黑" w:cs="微软雅黑"/>
          <w:sz w:val="24"/>
          <w:szCs w:val="24"/>
        </w:rPr>
      </w:pPr>
    </w:p>
    <w:p w14:paraId="01BC1FBD">
      <w:pPr>
        <w:pStyle w:val="2"/>
        <w:bidi w:val="0"/>
        <w:rPr>
          <w:rFonts w:hint="eastAsia" w:ascii="微软雅黑" w:hAnsi="微软雅黑" w:eastAsia="微软雅黑" w:cs="微软雅黑"/>
          <w:b w:val="0"/>
          <w:bCs/>
          <w:sz w:val="24"/>
          <w:szCs w:val="24"/>
        </w:rPr>
      </w:pPr>
      <w:bookmarkStart w:id="3" w:name="mqiuseific2b7aehnki"/>
      <w:r>
        <w:rPr>
          <w:rFonts w:hint="eastAsia" w:ascii="微软雅黑" w:hAnsi="微软雅黑" w:eastAsia="微软雅黑" w:cs="微软雅黑"/>
          <w:b/>
          <w:bCs/>
          <w:sz w:val="28"/>
          <w:szCs w:val="28"/>
        </w:rPr>
        <w:t>三、 交付成果与产品指标</w:t>
      </w:r>
      <w:r>
        <w:rPr>
          <w:rFonts w:hint="eastAsia" w:ascii="微软雅黑" w:hAnsi="微软雅黑" w:eastAsia="微软雅黑" w:cs="微软雅黑"/>
          <w:sz w:val="24"/>
          <w:szCs w:val="24"/>
        </w:rPr>
        <w:br w:type="textWrapping"/>
      </w:r>
      <w:bookmarkEnd w:id="3"/>
      <w:r>
        <w:rPr>
          <w:rStyle w:val="12"/>
          <w:rFonts w:hint="eastAsia" w:ascii="微软雅黑" w:hAnsi="微软雅黑" w:eastAsia="微软雅黑" w:cs="微软雅黑"/>
          <w:b/>
          <w:sz w:val="24"/>
          <w:szCs w:val="24"/>
          <w:lang w:val="en-US" w:eastAsia="zh-CN"/>
        </w:rPr>
        <w:t>3.1核心技术平台</w:t>
      </w:r>
    </w:p>
    <w:p w14:paraId="4FF1F732">
      <w:pPr>
        <w:keepNext w:val="0"/>
        <w:keepLines w:val="0"/>
        <w:widowControl/>
        <w:suppressLineNumbers w:val="0"/>
        <w:jc w:val="left"/>
        <w:rPr>
          <w:rFonts w:hint="eastAsia" w:ascii="微软雅黑" w:hAnsi="微软雅黑" w:eastAsia="微软雅黑" w:cs="微软雅黑"/>
          <w:b w:val="0"/>
          <w:bCs/>
          <w:sz w:val="24"/>
          <w:szCs w:val="24"/>
        </w:rPr>
      </w:pPr>
      <w:r>
        <w:rPr>
          <w:rStyle w:val="8"/>
          <w:rFonts w:hint="eastAsia" w:ascii="微软雅黑" w:hAnsi="微软雅黑" w:eastAsia="微软雅黑" w:cs="微软雅黑"/>
          <w:b w:val="0"/>
          <w:bCs/>
          <w:kern w:val="0"/>
          <w:sz w:val="24"/>
          <w:szCs w:val="24"/>
          <w:lang w:val="en-US" w:eastAsia="zh-CN" w:bidi="ar"/>
        </w:rPr>
        <w:t>多模态疼痛生理信号智能分析平台（实验室级）</w:t>
      </w:r>
    </w:p>
    <w:p w14:paraId="059C5873">
      <w:pPr>
        <w:keepNext w:val="0"/>
        <w:keepLines w:val="0"/>
        <w:widowControl/>
        <w:suppressLineNumbers w:val="0"/>
        <w:jc w:val="left"/>
        <w:rPr>
          <w:rFonts w:hint="eastAsia" w:ascii="微软雅黑" w:hAnsi="微软雅黑" w:eastAsia="微软雅黑" w:cs="微软雅黑"/>
          <w:b w:val="0"/>
          <w:bCs/>
          <w:kern w:val="0"/>
          <w:sz w:val="24"/>
          <w:szCs w:val="24"/>
          <w:lang w:val="en-US" w:eastAsia="zh-CN" w:bidi="ar"/>
        </w:rPr>
      </w:pPr>
      <w:r>
        <w:rPr>
          <w:rFonts w:hint="eastAsia" w:ascii="微软雅黑" w:hAnsi="微软雅黑" w:eastAsia="微软雅黑" w:cs="微软雅黑"/>
          <w:b w:val="0"/>
          <w:bCs/>
          <w:kern w:val="0"/>
          <w:sz w:val="24"/>
          <w:szCs w:val="24"/>
          <w:lang w:val="en-US" w:eastAsia="zh-CN" w:bidi="ar"/>
        </w:rPr>
        <w:t>基于科研级脑电放大器（ANT/BP等）与心电同步采集系统，集成信号预处理、特征提取、AI推理与结果可视化于一体的端到端疼痛评估验证平台，支持EEG与ECG信号的同步稳定采集与分析演示。</w:t>
      </w:r>
    </w:p>
    <w:p w14:paraId="0713A7E8">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3.2数据资产</w:t>
      </w:r>
    </w:p>
    <w:p w14:paraId="78A553D3">
      <w:pPr>
        <w:keepNext w:val="0"/>
        <w:keepLines w:val="0"/>
        <w:widowControl/>
        <w:suppressLineNumbers w:val="0"/>
        <w:jc w:val="left"/>
        <w:rPr>
          <w:rFonts w:hint="eastAsia" w:ascii="微软雅黑" w:hAnsi="微软雅黑" w:eastAsia="微软雅黑" w:cs="微软雅黑"/>
          <w:b w:val="0"/>
          <w:bCs/>
          <w:sz w:val="24"/>
          <w:szCs w:val="24"/>
        </w:rPr>
      </w:pPr>
      <w:r>
        <w:rPr>
          <w:rStyle w:val="8"/>
          <w:rFonts w:hint="eastAsia" w:ascii="微软雅黑" w:hAnsi="微软雅黑" w:eastAsia="微软雅黑" w:cs="微软雅黑"/>
          <w:b w:val="0"/>
          <w:bCs/>
          <w:kern w:val="0"/>
          <w:sz w:val="24"/>
          <w:szCs w:val="24"/>
          <w:lang w:val="en-US" w:eastAsia="zh-CN" w:bidi="ar"/>
        </w:rPr>
        <w:t>标准化多模态疼痛生理信号数据库</w:t>
      </w:r>
    </w:p>
    <w:p w14:paraId="43ADC2A6">
      <w:pPr>
        <w:keepNext w:val="0"/>
        <w:keepLines w:val="0"/>
        <w:widowControl/>
        <w:suppressLineNumbers w:val="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kern w:val="0"/>
          <w:sz w:val="24"/>
          <w:szCs w:val="24"/>
          <w:lang w:val="en-US" w:eastAsia="zh-CN" w:bidi="ar"/>
        </w:rPr>
        <w:t>前瞻性收集不少于130例受试者（含慢性神经病理性疼痛患者及健康对照）的多模态生理数据，涵盖静息态脑电、心电原始信号及完整临床信息，配套统一的数据采集范式、质量控制流程，形成可溯源、可复用的高质量科研数据资产。</w:t>
      </w:r>
    </w:p>
    <w:p w14:paraId="5485FD31">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3.3算法与模型</w:t>
      </w:r>
    </w:p>
    <w:p w14:paraId="734CAA66">
      <w:pPr>
        <w:keepNext w:val="0"/>
        <w:keepLines w:val="0"/>
        <w:widowControl/>
        <w:suppressLineNumbers w:val="0"/>
        <w:jc w:val="left"/>
        <w:rPr>
          <w:rFonts w:hint="eastAsia" w:ascii="微软雅黑" w:hAnsi="微软雅黑" w:eastAsia="微软雅黑" w:cs="微软雅黑"/>
          <w:b w:val="0"/>
          <w:bCs/>
          <w:sz w:val="24"/>
          <w:szCs w:val="24"/>
        </w:rPr>
      </w:pPr>
      <w:r>
        <w:rPr>
          <w:rStyle w:val="8"/>
          <w:rFonts w:hint="eastAsia" w:ascii="微软雅黑" w:hAnsi="微软雅黑" w:eastAsia="微软雅黑" w:cs="微软雅黑"/>
          <w:b w:val="0"/>
          <w:bCs/>
          <w:kern w:val="0"/>
          <w:sz w:val="24"/>
          <w:szCs w:val="24"/>
          <w:lang w:val="en-US" w:eastAsia="zh-CN" w:bidi="ar"/>
        </w:rPr>
        <w:t>疼痛识别与分类算法模型</w:t>
      </w:r>
    </w:p>
    <w:p w14:paraId="26AF2F77">
      <w:pPr>
        <w:keepNext w:val="0"/>
        <w:keepLines w:val="0"/>
        <w:widowControl/>
        <w:suppressLineNumbers w:val="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kern w:val="0"/>
          <w:sz w:val="24"/>
          <w:szCs w:val="24"/>
          <w:lang w:val="en-US" w:eastAsia="zh-CN" w:bidi="ar"/>
        </w:rPr>
        <w:t>系统提取涵盖时域、频域、小波域的多维度EEG与HRV融合特征，综合利用信号统计特征与深度神经网络设计，构建高性能模型。</w:t>
      </w:r>
    </w:p>
    <w:p w14:paraId="53AF92B1">
      <w:pPr>
        <w:keepNext w:val="0"/>
        <w:keepLines w:val="0"/>
        <w:widowControl/>
        <w:suppressLineNumbers w:val="0"/>
        <w:jc w:val="left"/>
        <w:rPr>
          <w:rFonts w:hint="eastAsia" w:ascii="微软雅黑" w:hAnsi="微软雅黑" w:eastAsia="微软雅黑" w:cs="微软雅黑"/>
          <w:b w:val="0"/>
          <w:bCs/>
          <w:sz w:val="24"/>
          <w:szCs w:val="24"/>
        </w:rPr>
      </w:pPr>
      <w:r>
        <w:rPr>
          <w:rStyle w:val="8"/>
          <w:rFonts w:hint="eastAsia" w:ascii="微软雅黑" w:hAnsi="微软雅黑" w:eastAsia="微软雅黑" w:cs="微软雅黑"/>
          <w:b w:val="0"/>
          <w:bCs/>
          <w:kern w:val="0"/>
          <w:sz w:val="24"/>
          <w:szCs w:val="24"/>
          <w:lang w:val="en-US" w:eastAsia="zh-CN" w:bidi="ar"/>
        </w:rPr>
        <w:t>两阶段AI疼痛评估模型</w:t>
      </w:r>
    </w:p>
    <w:p w14:paraId="1A248BCE">
      <w:pPr>
        <w:keepNext w:val="0"/>
        <w:keepLines w:val="0"/>
        <w:widowControl/>
        <w:suppressLineNumbers w:val="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kern w:val="0"/>
          <w:sz w:val="24"/>
          <w:szCs w:val="24"/>
          <w:lang w:val="en-US" w:eastAsia="zh-CN" w:bidi="ar"/>
        </w:rPr>
        <w:t xml:space="preserve">• </w:t>
      </w:r>
      <w:r>
        <w:rPr>
          <w:rStyle w:val="8"/>
          <w:rFonts w:hint="eastAsia" w:ascii="微软雅黑" w:hAnsi="微软雅黑" w:eastAsia="微软雅黑" w:cs="微软雅黑"/>
          <w:b w:val="0"/>
          <w:bCs/>
          <w:kern w:val="0"/>
          <w:sz w:val="24"/>
          <w:szCs w:val="24"/>
          <w:lang w:val="en-US" w:eastAsia="zh-CN" w:bidi="ar"/>
        </w:rPr>
        <w:t>疼痛识别模型</w:t>
      </w:r>
      <w:r>
        <w:rPr>
          <w:rFonts w:hint="eastAsia" w:ascii="微软雅黑" w:hAnsi="微软雅黑" w:eastAsia="微软雅黑" w:cs="微软雅黑"/>
          <w:b w:val="0"/>
          <w:bCs/>
          <w:kern w:val="0"/>
          <w:sz w:val="24"/>
          <w:szCs w:val="24"/>
          <w:lang w:val="en-US" w:eastAsia="zh-CN" w:bidi="ar"/>
        </w:rPr>
        <w:t>：实现健康无痛态与临床疼痛态的精准二分类，内部验证AUC≥0.8</w:t>
      </w:r>
    </w:p>
    <w:p w14:paraId="2A854A8F">
      <w:pPr>
        <w:keepNext w:val="0"/>
        <w:keepLines w:val="0"/>
        <w:widowControl/>
        <w:suppressLineNumbers w:val="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kern w:val="0"/>
          <w:sz w:val="24"/>
          <w:szCs w:val="24"/>
          <w:lang w:val="en-US" w:eastAsia="zh-CN" w:bidi="ar"/>
        </w:rPr>
        <w:t xml:space="preserve">• </w:t>
      </w:r>
      <w:r>
        <w:rPr>
          <w:rStyle w:val="8"/>
          <w:rFonts w:hint="eastAsia" w:ascii="微软雅黑" w:hAnsi="微软雅黑" w:eastAsia="微软雅黑" w:cs="微软雅黑"/>
          <w:b w:val="0"/>
          <w:bCs/>
          <w:kern w:val="0"/>
          <w:sz w:val="24"/>
          <w:szCs w:val="24"/>
          <w:lang w:val="en-US" w:eastAsia="zh-CN" w:bidi="ar"/>
        </w:rPr>
        <w:t>疼痛强度分级模型</w:t>
      </w:r>
      <w:r>
        <w:rPr>
          <w:rFonts w:hint="eastAsia" w:ascii="微软雅黑" w:hAnsi="微软雅黑" w:eastAsia="微软雅黑" w:cs="微软雅黑"/>
          <w:b w:val="0"/>
          <w:bCs/>
          <w:kern w:val="0"/>
          <w:sz w:val="24"/>
          <w:szCs w:val="24"/>
          <w:lang w:val="en-US" w:eastAsia="zh-CN" w:bidi="ar"/>
        </w:rPr>
        <w:t>：基于多模态融合特征，对疼痛强度进行连续性量化分级，RMSE≤2</w:t>
      </w:r>
    </w:p>
    <w:p w14:paraId="36FBADB8">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3.4软件系统</w:t>
      </w:r>
    </w:p>
    <w:p w14:paraId="2355C822">
      <w:pPr>
        <w:keepNext w:val="0"/>
        <w:keepLines w:val="0"/>
        <w:widowControl/>
        <w:suppressLineNumbers w:val="0"/>
        <w:jc w:val="left"/>
        <w:rPr>
          <w:rFonts w:hint="eastAsia" w:ascii="微软雅黑" w:hAnsi="微软雅黑" w:eastAsia="微软雅黑" w:cs="微软雅黑"/>
          <w:b w:val="0"/>
          <w:bCs/>
          <w:sz w:val="24"/>
          <w:szCs w:val="24"/>
        </w:rPr>
      </w:pPr>
      <w:r>
        <w:rPr>
          <w:rStyle w:val="8"/>
          <w:rFonts w:hint="eastAsia" w:ascii="微软雅黑" w:hAnsi="微软雅黑" w:eastAsia="微软雅黑" w:cs="微软雅黑"/>
          <w:b w:val="0"/>
          <w:bCs/>
          <w:kern w:val="0"/>
          <w:sz w:val="24"/>
          <w:szCs w:val="24"/>
          <w:lang w:val="en-US" w:eastAsia="zh-CN" w:bidi="ar"/>
        </w:rPr>
        <w:t>多模态信号同步采集与分析演示软件</w:t>
      </w:r>
    </w:p>
    <w:p w14:paraId="77658A3C">
      <w:pPr>
        <w:keepNext w:val="0"/>
        <w:keepLines w:val="0"/>
        <w:widowControl/>
        <w:suppressLineNumbers w:val="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kern w:val="0"/>
          <w:sz w:val="24"/>
          <w:szCs w:val="24"/>
          <w:lang w:val="en-US" w:eastAsia="zh-CN" w:bidi="ar"/>
        </w:rPr>
        <w:t>支持脑电与心电信号的同步采集、实时波形显示、自动化预处理与特征提取，集成AI模型推理模块，以可视化界面呈现疼痛评估结果，具备在实验室环境下完整演示与验证的能力。</w:t>
      </w:r>
    </w:p>
    <w:p w14:paraId="35CC5CB9">
      <w:pPr>
        <w:pStyle w:val="2"/>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3.5临床转化基础</w:t>
      </w:r>
    </w:p>
    <w:p w14:paraId="40EF7B73">
      <w:pPr>
        <w:keepNext w:val="0"/>
        <w:keepLines w:val="0"/>
        <w:widowControl/>
        <w:suppressLineNumbers w:val="0"/>
        <w:jc w:val="left"/>
        <w:rPr>
          <w:rFonts w:hint="eastAsia" w:ascii="微软雅黑" w:hAnsi="微软雅黑" w:eastAsia="微软雅黑" w:cs="微软雅黑"/>
          <w:b w:val="0"/>
          <w:bCs/>
          <w:sz w:val="24"/>
          <w:szCs w:val="24"/>
        </w:rPr>
      </w:pPr>
      <w:r>
        <w:rPr>
          <w:rStyle w:val="8"/>
          <w:rFonts w:hint="eastAsia" w:ascii="微软雅黑" w:hAnsi="微软雅黑" w:eastAsia="微软雅黑" w:cs="微软雅黑"/>
          <w:b w:val="0"/>
          <w:bCs/>
          <w:kern w:val="0"/>
          <w:sz w:val="24"/>
          <w:szCs w:val="24"/>
          <w:lang w:val="en-US" w:eastAsia="zh-CN" w:bidi="ar"/>
        </w:rPr>
        <w:t>疼痛客观评估操作规范与技术转化方案</w:t>
      </w:r>
    </w:p>
    <w:p w14:paraId="1FC61F41">
      <w:pPr>
        <w:keepNext w:val="0"/>
        <w:keepLines w:val="0"/>
        <w:widowControl/>
        <w:suppressLineNumbers w:val="0"/>
        <w:jc w:val="left"/>
        <w:rPr>
          <w:rFonts w:hint="eastAsia" w:ascii="微软雅黑" w:hAnsi="微软雅黑" w:eastAsia="微软雅黑" w:cs="微软雅黑"/>
          <w:b w:val="0"/>
          <w:bCs/>
          <w:kern w:val="0"/>
          <w:sz w:val="24"/>
          <w:szCs w:val="24"/>
          <w:lang w:val="en-US" w:eastAsia="zh-CN" w:bidi="ar"/>
        </w:rPr>
      </w:pPr>
      <w:r>
        <w:rPr>
          <w:rFonts w:hint="eastAsia" w:ascii="微软雅黑" w:hAnsi="微软雅黑" w:eastAsia="微软雅黑" w:cs="微软雅黑"/>
          <w:b w:val="0"/>
          <w:bCs/>
          <w:kern w:val="0"/>
          <w:sz w:val="24"/>
          <w:szCs w:val="24"/>
          <w:lang w:val="en-US" w:eastAsia="zh-CN" w:bidi="ar"/>
        </w:rPr>
        <w:t>形成一套适用于临床场景的多模态疼痛评估标准化操作规程，明确设备配置、采集流程、质量控制与结果解读标准，为后续产品注册、多中心推广及技术授权奠定合规基础，具备向医院、社区及家庭疼痛管理场景延伸的转化潜力。</w:t>
      </w:r>
    </w:p>
    <w:p w14:paraId="112E73B9">
      <w:pPr>
        <w:keepNext w:val="0"/>
        <w:keepLines w:val="0"/>
        <w:widowControl/>
        <w:suppressLineNumbers w:val="0"/>
        <w:jc w:val="left"/>
        <w:rPr>
          <w:rFonts w:hint="eastAsia" w:ascii="微软雅黑" w:hAnsi="微软雅黑" w:eastAsia="微软雅黑" w:cs="微软雅黑"/>
          <w:b w:val="0"/>
          <w:bCs/>
          <w:kern w:val="0"/>
          <w:sz w:val="24"/>
          <w:szCs w:val="24"/>
          <w:lang w:val="en-US" w:eastAsia="zh-CN" w:bidi="ar"/>
        </w:rPr>
      </w:pPr>
    </w:p>
    <w:p w14:paraId="0C7B52C6">
      <w:pPr>
        <w:numPr>
          <w:ilvl w:val="0"/>
          <w:numId w:val="0"/>
        </w:numPr>
        <w:ind w:leftChars="0"/>
        <w:rPr>
          <w:rFonts w:hint="eastAsia" w:ascii="微软雅黑" w:hAnsi="微软雅黑" w:eastAsia="微软雅黑" w:cs="微软雅黑"/>
          <w:sz w:val="24"/>
          <w:szCs w:val="24"/>
        </w:rPr>
      </w:pPr>
    </w:p>
    <w:p w14:paraId="1D43F4B2">
      <w:pPr>
        <w:pBdr>
          <w:top w:val="single" w:color="000000" w:sz="6" w:space="0"/>
        </w:pBdr>
        <w:rPr>
          <w:rFonts w:hint="eastAsia" w:ascii="微软雅黑" w:hAnsi="微软雅黑" w:eastAsia="微软雅黑" w:cs="微软雅黑"/>
          <w:sz w:val="24"/>
          <w:szCs w:val="24"/>
        </w:rPr>
      </w:pPr>
    </w:p>
    <w:p w14:paraId="72F9B9B1">
      <w:pPr>
        <w:keepNext w:val="0"/>
        <w:keepLines w:val="0"/>
        <w:widowControl/>
        <w:suppressLineNumbers w:val="0"/>
        <w:jc w:val="left"/>
        <w:rPr>
          <w:rFonts w:hint="eastAsia" w:ascii="微软雅黑" w:hAnsi="微软雅黑" w:eastAsia="微软雅黑" w:cs="微软雅黑"/>
          <w:b w:val="0"/>
          <w:bCs/>
          <w:kern w:val="0"/>
          <w:sz w:val="24"/>
          <w:szCs w:val="24"/>
          <w:lang w:val="en-US" w:eastAsia="zh-CN" w:bidi="ar"/>
        </w:rPr>
      </w:pPr>
    </w:p>
    <w:p w14:paraId="55618C08">
      <w:pPr>
        <w:keepNext w:val="0"/>
        <w:keepLines w:val="0"/>
        <w:widowControl/>
        <w:suppressLineNumbers w:val="0"/>
        <w:jc w:val="left"/>
        <w:rPr>
          <w:rFonts w:hint="eastAsia" w:ascii="微软雅黑" w:hAnsi="微软雅黑" w:eastAsia="微软雅黑" w:cs="微软雅黑"/>
          <w:b w:val="0"/>
          <w:bCs/>
          <w:kern w:val="0"/>
          <w:sz w:val="24"/>
          <w:szCs w:val="24"/>
          <w:lang w:val="en-US" w:eastAsia="zh-CN" w:bidi="ar"/>
        </w:rPr>
      </w:pPr>
    </w:p>
    <w:p w14:paraId="3BEF5FE8">
      <w:pPr>
        <w:bidi w:val="0"/>
        <w:rPr>
          <w:rFonts w:hint="eastAsia" w:ascii="微软雅黑" w:hAnsi="微软雅黑" w:eastAsia="微软雅黑" w:cs="微软雅黑"/>
          <w:b/>
          <w:bCs/>
          <w:sz w:val="28"/>
          <w:szCs w:val="28"/>
        </w:rPr>
      </w:pPr>
      <w:bookmarkStart w:id="4" w:name="mqiuseitqsit0508t4"/>
      <w:r>
        <w:rPr>
          <w:rFonts w:hint="eastAsia" w:ascii="微软雅黑" w:hAnsi="微软雅黑" w:eastAsia="微软雅黑" w:cs="微软雅黑"/>
          <w:b/>
          <w:bCs/>
          <w:sz w:val="28"/>
          <w:szCs w:val="28"/>
        </w:rPr>
        <w:t>四、 服务人员资质要求</w:t>
      </w:r>
      <w:bookmarkEnd w:id="4"/>
    </w:p>
    <w:p w14:paraId="644177F3">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承接本项目的团队须具备生物医学信号处理、AI算法及医疗软件工程的复合能力。</w:t>
      </w:r>
    </w:p>
    <w:p w14:paraId="66BF983D">
      <w:pPr>
        <w:pStyle w:val="2"/>
        <w:bidi w:val="0"/>
        <w:rPr>
          <w:rFonts w:hint="eastAsia" w:ascii="微软雅黑" w:hAnsi="微软雅黑" w:eastAsia="微软雅黑" w:cs="微软雅黑"/>
          <w:szCs w:val="24"/>
        </w:rPr>
      </w:pPr>
      <w:bookmarkStart w:id="5" w:name="mqiuseiv5yf7juwsxxq"/>
      <w:r>
        <w:rPr>
          <w:rFonts w:hint="eastAsia" w:ascii="微软雅黑" w:hAnsi="微软雅黑" w:eastAsia="微软雅黑" w:cs="微软雅黑"/>
          <w:sz w:val="24"/>
          <w:szCs w:val="24"/>
          <w:lang w:val="en-US" w:eastAsia="zh-CN"/>
        </w:rPr>
        <w:t>4.1</w:t>
      </w:r>
      <w:r>
        <w:rPr>
          <w:rFonts w:hint="eastAsia" w:ascii="微软雅黑" w:hAnsi="微软雅黑" w:eastAsia="微软雅黑" w:cs="微软雅黑"/>
          <w:sz w:val="24"/>
          <w:szCs w:val="24"/>
        </w:rPr>
        <w:t>核心技术岗位要求</w:t>
      </w:r>
      <w:bookmarkEnd w:id="5"/>
    </w:p>
    <w:tbl>
      <w:tblPr>
        <w:tblStyle w:val="11"/>
        <w:tblW w:w="0" w:type="auto"/>
        <w:tblInd w:w="0" w:type="dxa"/>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Layout w:type="autofit"/>
        <w:tblCellMar>
          <w:top w:w="0" w:type="dxa"/>
          <w:left w:w="108" w:type="dxa"/>
          <w:bottom w:w="0" w:type="dxa"/>
          <w:right w:w="108" w:type="dxa"/>
        </w:tblCellMar>
      </w:tblPr>
      <w:tblGrid>
        <w:gridCol w:w="2430"/>
        <w:gridCol w:w="2430"/>
        <w:gridCol w:w="2929"/>
        <w:gridCol w:w="2430"/>
      </w:tblGrid>
      <w:tr w14:paraId="303A49DF">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rPr>
        <w:tc>
          <w:tcPr>
            <w:tcW w:w="2430" w:type="dxa"/>
            <w:tcBorders>
              <w:top w:val="single" w:color="E0E0E0" w:sz="6" w:space="0"/>
              <w:left w:val="single" w:color="E0E0E0" w:sz="6" w:space="0"/>
              <w:bottom w:val="single" w:color="E0E0E0" w:sz="6" w:space="0"/>
              <w:right w:val="single" w:color="E0E0E0" w:sz="6" w:space="0"/>
            </w:tcBorders>
          </w:tcPr>
          <w:p w14:paraId="2F3C41D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岗位名称</w:t>
            </w:r>
          </w:p>
        </w:tc>
        <w:tc>
          <w:tcPr>
            <w:tcW w:w="2430" w:type="dxa"/>
            <w:tcBorders>
              <w:top w:val="single" w:color="E0E0E0" w:sz="6" w:space="0"/>
              <w:left w:val="single" w:color="E0E0E0" w:sz="6" w:space="0"/>
              <w:bottom w:val="single" w:color="E0E0E0" w:sz="6" w:space="0"/>
              <w:right w:val="single" w:color="E0E0E0" w:sz="6" w:space="0"/>
            </w:tcBorders>
          </w:tcPr>
          <w:p w14:paraId="099D2D4D">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学历/专业</w:t>
            </w:r>
          </w:p>
        </w:tc>
        <w:tc>
          <w:tcPr>
            <w:tcW w:w="2929" w:type="dxa"/>
            <w:tcBorders>
              <w:top w:val="single" w:color="E0E0E0" w:sz="6" w:space="0"/>
              <w:left w:val="single" w:color="E0E0E0" w:sz="6" w:space="0"/>
              <w:bottom w:val="single" w:color="E0E0E0" w:sz="6" w:space="0"/>
              <w:right w:val="single" w:color="E0E0E0" w:sz="6" w:space="0"/>
            </w:tcBorders>
          </w:tcPr>
          <w:p w14:paraId="3D0171FA">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核心能力要求</w:t>
            </w:r>
          </w:p>
        </w:tc>
        <w:tc>
          <w:tcPr>
            <w:tcW w:w="2430" w:type="dxa"/>
            <w:tcBorders>
              <w:top w:val="single" w:color="E0E0E0" w:sz="6" w:space="0"/>
              <w:left w:val="single" w:color="E0E0E0" w:sz="6" w:space="0"/>
              <w:bottom w:val="single" w:color="E0E0E0" w:sz="6" w:space="0"/>
              <w:right w:val="single" w:color="E0E0E0" w:sz="6" w:space="0"/>
            </w:tcBorders>
          </w:tcPr>
          <w:p w14:paraId="668F822A">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经验要求</w:t>
            </w:r>
          </w:p>
        </w:tc>
      </w:tr>
      <w:tr w14:paraId="6076A1D2">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rPr>
        <w:tc>
          <w:tcPr>
            <w:tcW w:w="2430" w:type="dxa"/>
            <w:tcBorders>
              <w:top w:val="single" w:color="E0E0E0" w:sz="6" w:space="0"/>
              <w:left w:val="single" w:color="E0E0E0" w:sz="6" w:space="0"/>
              <w:bottom w:val="single" w:color="E0E0E0" w:sz="6" w:space="0"/>
              <w:right w:val="single" w:color="E0E0E0" w:sz="6" w:space="0"/>
            </w:tcBorders>
          </w:tcPr>
          <w:p w14:paraId="1FF95E71">
            <w:p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生物医学信号处理工程师</w:t>
            </w:r>
            <w:r>
              <w:rPr>
                <w:rFonts w:hint="eastAsia" w:ascii="微软雅黑" w:hAnsi="微软雅黑" w:eastAsia="微软雅黑" w:cs="微软雅黑"/>
                <w:sz w:val="24"/>
                <w:szCs w:val="24"/>
              </w:rPr>
              <w:t>​</w:t>
            </w:r>
          </w:p>
        </w:tc>
        <w:tc>
          <w:tcPr>
            <w:tcW w:w="2430" w:type="dxa"/>
            <w:tcBorders>
              <w:top w:val="single" w:color="E0E0E0" w:sz="6" w:space="0"/>
              <w:left w:val="single" w:color="E0E0E0" w:sz="6" w:space="0"/>
              <w:bottom w:val="single" w:color="E0E0E0" w:sz="6" w:space="0"/>
              <w:right w:val="single" w:color="E0E0E0" w:sz="6" w:space="0"/>
            </w:tcBorders>
          </w:tcPr>
          <w:p w14:paraId="566B0796">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本科及以上（生医工/电子/神经科学）</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硕士优先</w:t>
            </w:r>
          </w:p>
        </w:tc>
        <w:tc>
          <w:tcPr>
            <w:tcW w:w="2929" w:type="dxa"/>
            <w:tcBorders>
              <w:top w:val="single" w:color="E0E0E0" w:sz="6" w:space="0"/>
              <w:left w:val="single" w:color="E0E0E0" w:sz="6" w:space="0"/>
              <w:bottom w:val="single" w:color="E0E0E0" w:sz="6" w:space="0"/>
              <w:right w:val="single" w:color="E0E0E0" w:sz="6" w:space="0"/>
            </w:tcBorders>
          </w:tcPr>
          <w:p w14:paraId="62662608">
            <w:pPr>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rPr>
              <w:t>精通 EEG/ECG 处理；熟练使用 ICA、小波变换；掌握 MNE-Python/EEGLAB。</w:t>
            </w:r>
          </w:p>
        </w:tc>
        <w:tc>
          <w:tcPr>
            <w:tcW w:w="2430" w:type="dxa"/>
            <w:tcBorders>
              <w:top w:val="single" w:color="E0E0E0" w:sz="6" w:space="0"/>
              <w:left w:val="single" w:color="E0E0E0" w:sz="6" w:space="0"/>
              <w:bottom w:val="single" w:color="E0E0E0" w:sz="6" w:space="0"/>
              <w:right w:val="single" w:color="E0E0E0" w:sz="6" w:space="0"/>
            </w:tcBorders>
          </w:tcPr>
          <w:p w14:paraId="4EF01A2D">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不少于 1 项相关项目交付经验</w:t>
            </w:r>
          </w:p>
        </w:tc>
      </w:tr>
      <w:tr w14:paraId="31271EA0">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rPr>
        <w:tc>
          <w:tcPr>
            <w:tcW w:w="2430" w:type="dxa"/>
            <w:tcBorders>
              <w:top w:val="single" w:color="E0E0E0" w:sz="6" w:space="0"/>
              <w:left w:val="single" w:color="E0E0E0" w:sz="6" w:space="0"/>
              <w:bottom w:val="single" w:color="E0E0E0" w:sz="6" w:space="0"/>
              <w:right w:val="single" w:color="E0E0E0" w:sz="6" w:space="0"/>
            </w:tcBorders>
          </w:tcPr>
          <w:p w14:paraId="7E987C8C">
            <w:p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深度学习算法工程师</w:t>
            </w:r>
            <w:r>
              <w:rPr>
                <w:rFonts w:hint="eastAsia" w:ascii="微软雅黑" w:hAnsi="微软雅黑" w:eastAsia="微软雅黑" w:cs="微软雅黑"/>
                <w:sz w:val="24"/>
                <w:szCs w:val="24"/>
              </w:rPr>
              <w:t>​</w:t>
            </w:r>
          </w:p>
        </w:tc>
        <w:tc>
          <w:tcPr>
            <w:tcW w:w="2430" w:type="dxa"/>
            <w:tcBorders>
              <w:top w:val="single" w:color="E0E0E0" w:sz="6" w:space="0"/>
              <w:left w:val="single" w:color="E0E0E0" w:sz="6" w:space="0"/>
              <w:bottom w:val="single" w:color="E0E0E0" w:sz="6" w:space="0"/>
              <w:right w:val="single" w:color="E0E0E0" w:sz="6" w:space="0"/>
            </w:tcBorders>
          </w:tcPr>
          <w:p w14:paraId="358A7D9E">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研究生及以上</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（计算机/AI/硕士优先）</w:t>
            </w:r>
          </w:p>
        </w:tc>
        <w:tc>
          <w:tcPr>
            <w:tcW w:w="2929" w:type="dxa"/>
            <w:tcBorders>
              <w:top w:val="single" w:color="E0E0E0" w:sz="6" w:space="0"/>
              <w:left w:val="single" w:color="E0E0E0" w:sz="6" w:space="0"/>
              <w:bottom w:val="single" w:color="E0E0E0" w:sz="6" w:space="0"/>
              <w:right w:val="single" w:color="E0E0E0" w:sz="6" w:space="0"/>
            </w:tcBorders>
          </w:tcPr>
          <w:p w14:paraId="23E0C832">
            <w:pPr>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精</w:t>
            </w:r>
            <w:r>
              <w:rPr>
                <w:rFonts w:hint="eastAsia" w:ascii="微软雅黑" w:hAnsi="微软雅黑" w:eastAsia="微软雅黑" w:cs="微软雅黑"/>
                <w:sz w:val="24"/>
                <w:szCs w:val="24"/>
              </w:rPr>
              <w:t>通 PyTorch/TensorFlow；熟悉 Transformer/注意力机制；能输出性能评估报告。</w:t>
            </w:r>
          </w:p>
        </w:tc>
        <w:tc>
          <w:tcPr>
            <w:tcW w:w="2430" w:type="dxa"/>
            <w:tcBorders>
              <w:top w:val="single" w:color="E0E0E0" w:sz="6" w:space="0"/>
              <w:left w:val="single" w:color="E0E0E0" w:sz="6" w:space="0"/>
              <w:bottom w:val="single" w:color="E0E0E0" w:sz="6" w:space="0"/>
              <w:right w:val="single" w:color="E0E0E0" w:sz="6" w:space="0"/>
            </w:tcBorders>
          </w:tcPr>
          <w:p w14:paraId="5B55533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不少于 1 项医疗 AI 模型开发经验</w:t>
            </w:r>
          </w:p>
        </w:tc>
      </w:tr>
      <w:tr w14:paraId="7DB3FB52">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rPr>
        <w:tc>
          <w:tcPr>
            <w:tcW w:w="2430" w:type="dxa"/>
            <w:tcBorders>
              <w:top w:val="single" w:color="E0E0E0" w:sz="6" w:space="0"/>
              <w:left w:val="single" w:color="E0E0E0" w:sz="6" w:space="0"/>
              <w:bottom w:val="single" w:color="E0E0E0" w:sz="6" w:space="0"/>
              <w:right w:val="single" w:color="E0E0E0" w:sz="6" w:space="0"/>
            </w:tcBorders>
          </w:tcPr>
          <w:p w14:paraId="2032BBA3">
            <w:p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算法部署工程师</w:t>
            </w:r>
            <w:r>
              <w:rPr>
                <w:rFonts w:hint="eastAsia" w:ascii="微软雅黑" w:hAnsi="微软雅黑" w:eastAsia="微软雅黑" w:cs="微软雅黑"/>
                <w:sz w:val="24"/>
                <w:szCs w:val="24"/>
              </w:rPr>
              <w:t>​</w:t>
            </w:r>
          </w:p>
        </w:tc>
        <w:tc>
          <w:tcPr>
            <w:tcW w:w="2430" w:type="dxa"/>
            <w:tcBorders>
              <w:top w:val="single" w:color="E0E0E0" w:sz="6" w:space="0"/>
              <w:left w:val="single" w:color="E0E0E0" w:sz="6" w:space="0"/>
              <w:bottom w:val="single" w:color="E0E0E0" w:sz="6" w:space="0"/>
              <w:right w:val="single" w:color="E0E0E0" w:sz="6" w:space="0"/>
            </w:tcBorders>
          </w:tcPr>
          <w:p w14:paraId="42F49B7A">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本科及以上</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（计算机/软工）</w:t>
            </w:r>
          </w:p>
        </w:tc>
        <w:tc>
          <w:tcPr>
            <w:tcW w:w="2929" w:type="dxa"/>
            <w:tcBorders>
              <w:top w:val="single" w:color="E0E0E0" w:sz="6" w:space="0"/>
              <w:left w:val="single" w:color="E0E0E0" w:sz="6" w:space="0"/>
              <w:bottom w:val="single" w:color="E0E0E0" w:sz="6" w:space="0"/>
              <w:right w:val="single" w:color="E0E0E0" w:sz="6" w:space="0"/>
            </w:tcBorders>
          </w:tcPr>
          <w:p w14:paraId="0FA1EB37">
            <w:pPr>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熟悉 ONNX、TensorRT；具备模型轻量化（剪枝、量化）及 RESTful API 开发能力。</w:t>
            </w:r>
          </w:p>
        </w:tc>
        <w:tc>
          <w:tcPr>
            <w:tcW w:w="2430" w:type="dxa"/>
            <w:tcBorders>
              <w:top w:val="single" w:color="E0E0E0" w:sz="6" w:space="0"/>
              <w:left w:val="single" w:color="E0E0E0" w:sz="6" w:space="0"/>
              <w:bottom w:val="single" w:color="E0E0E0" w:sz="6" w:space="0"/>
              <w:right w:val="single" w:color="E0E0E0" w:sz="6" w:space="0"/>
            </w:tcBorders>
          </w:tcPr>
          <w:p w14:paraId="5CAFBF07">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有 AI 模型生产环境部署经验</w:t>
            </w:r>
          </w:p>
        </w:tc>
      </w:tr>
      <w:tr w14:paraId="6EFE5F72">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rPr>
        <w:tc>
          <w:tcPr>
            <w:tcW w:w="2430" w:type="dxa"/>
            <w:tcBorders>
              <w:top w:val="single" w:color="E0E0E0" w:sz="6" w:space="0"/>
              <w:left w:val="single" w:color="E0E0E0" w:sz="6" w:space="0"/>
              <w:bottom w:val="single" w:color="E0E0E0" w:sz="6" w:space="0"/>
              <w:right w:val="single" w:color="E0E0E0" w:sz="6" w:space="0"/>
            </w:tcBorders>
          </w:tcPr>
          <w:p w14:paraId="38AA8927">
            <w:p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本地化部署工程师</w:t>
            </w:r>
            <w:r>
              <w:rPr>
                <w:rFonts w:hint="eastAsia" w:ascii="微软雅黑" w:hAnsi="微软雅黑" w:eastAsia="微软雅黑" w:cs="微软雅黑"/>
                <w:sz w:val="24"/>
                <w:szCs w:val="24"/>
              </w:rPr>
              <w:t>​</w:t>
            </w:r>
          </w:p>
        </w:tc>
        <w:tc>
          <w:tcPr>
            <w:tcW w:w="2430" w:type="dxa"/>
            <w:tcBorders>
              <w:top w:val="single" w:color="E0E0E0" w:sz="6" w:space="0"/>
              <w:left w:val="single" w:color="E0E0E0" w:sz="6" w:space="0"/>
              <w:bottom w:val="single" w:color="E0E0E0" w:sz="6" w:space="0"/>
              <w:right w:val="single" w:color="E0E0E0" w:sz="6" w:space="0"/>
            </w:tcBorders>
          </w:tcPr>
          <w:p w14:paraId="59BAC383">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本科及以上</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（计算机/网络）</w:t>
            </w:r>
          </w:p>
        </w:tc>
        <w:tc>
          <w:tcPr>
            <w:tcW w:w="2929" w:type="dxa"/>
            <w:tcBorders>
              <w:top w:val="single" w:color="E0E0E0" w:sz="6" w:space="0"/>
              <w:left w:val="single" w:color="E0E0E0" w:sz="6" w:space="0"/>
              <w:bottom w:val="single" w:color="E0E0E0" w:sz="6" w:space="0"/>
              <w:right w:val="single" w:color="E0E0E0" w:sz="6" w:space="0"/>
            </w:tcBorders>
          </w:tcPr>
          <w:p w14:paraId="37C95EDF">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熟悉 Linux、Docker；能在内网/隔离环境下完成离线部署；精通 CUDA/GPU 环境配置。</w:t>
            </w:r>
          </w:p>
        </w:tc>
        <w:tc>
          <w:tcPr>
            <w:tcW w:w="2430" w:type="dxa"/>
            <w:tcBorders>
              <w:top w:val="single" w:color="E0E0E0" w:sz="6" w:space="0"/>
              <w:left w:val="single" w:color="E0E0E0" w:sz="6" w:space="0"/>
              <w:bottom w:val="single" w:color="E0E0E0" w:sz="6" w:space="0"/>
              <w:right w:val="single" w:color="E0E0E0" w:sz="6" w:space="0"/>
            </w:tcBorders>
          </w:tcPr>
          <w:p w14:paraId="274ADFC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有医院或政企内网部署经验者优先</w:t>
            </w:r>
          </w:p>
        </w:tc>
      </w:tr>
      <w:tr w14:paraId="0A527E94">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rPr>
        <w:tc>
          <w:tcPr>
            <w:tcW w:w="2430" w:type="dxa"/>
            <w:tcBorders>
              <w:top w:val="single" w:color="E0E0E0" w:sz="6" w:space="0"/>
              <w:left w:val="single" w:color="E0E0E0" w:sz="6" w:space="0"/>
              <w:bottom w:val="single" w:color="E0E0E0" w:sz="6" w:space="0"/>
              <w:right w:val="single" w:color="E0E0E0" w:sz="6" w:space="0"/>
            </w:tcBorders>
          </w:tcPr>
          <w:p w14:paraId="5CCD48F3">
            <w:p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运维工程师</w:t>
            </w:r>
            <w:r>
              <w:rPr>
                <w:rFonts w:hint="eastAsia" w:ascii="微软雅黑" w:hAnsi="微软雅黑" w:eastAsia="微软雅黑" w:cs="微软雅黑"/>
                <w:sz w:val="24"/>
                <w:szCs w:val="24"/>
              </w:rPr>
              <w:t>​</w:t>
            </w:r>
          </w:p>
        </w:tc>
        <w:tc>
          <w:tcPr>
            <w:tcW w:w="2430" w:type="dxa"/>
            <w:tcBorders>
              <w:top w:val="single" w:color="E0E0E0" w:sz="6" w:space="0"/>
              <w:left w:val="single" w:color="E0E0E0" w:sz="6" w:space="0"/>
              <w:bottom w:val="single" w:color="E0E0E0" w:sz="6" w:space="0"/>
              <w:right w:val="single" w:color="E0E0E0" w:sz="6" w:space="0"/>
            </w:tcBorders>
          </w:tcPr>
          <w:p w14:paraId="5E471F33">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本科及以上</w:t>
            </w:r>
          </w:p>
        </w:tc>
        <w:tc>
          <w:tcPr>
            <w:tcW w:w="2929" w:type="dxa"/>
            <w:tcBorders>
              <w:top w:val="single" w:color="E0E0E0" w:sz="6" w:space="0"/>
              <w:left w:val="single" w:color="E0E0E0" w:sz="6" w:space="0"/>
              <w:bottom w:val="single" w:color="E0E0E0" w:sz="6" w:space="0"/>
              <w:right w:val="single" w:color="E0E0E0" w:sz="6" w:space="0"/>
            </w:tcBorders>
          </w:tcPr>
          <w:p w14:paraId="1509ABAE">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负责 GPU 服务器运维；故障响应（工作日至多 4 小时）；制定数据备份策略。</w:t>
            </w:r>
          </w:p>
        </w:tc>
        <w:tc>
          <w:tcPr>
            <w:tcW w:w="2430" w:type="dxa"/>
            <w:tcBorders>
              <w:top w:val="single" w:color="E0E0E0" w:sz="6" w:space="0"/>
              <w:left w:val="single" w:color="E0E0E0" w:sz="6" w:space="0"/>
              <w:bottom w:val="single" w:color="E0E0E0" w:sz="6" w:space="0"/>
              <w:right w:val="single" w:color="E0E0E0" w:sz="6" w:space="0"/>
            </w:tcBorders>
          </w:tcPr>
          <w:p w14:paraId="447D5A44">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项目结束后提供 ≥6 个月维保</w:t>
            </w:r>
            <w:bookmarkStart w:id="8" w:name="_GoBack"/>
            <w:bookmarkEnd w:id="8"/>
          </w:p>
        </w:tc>
      </w:tr>
      <w:tr w14:paraId="10763515">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rPr>
        <w:tc>
          <w:tcPr>
            <w:tcW w:w="2430" w:type="dxa"/>
            <w:tcBorders>
              <w:top w:val="single" w:color="E0E0E0" w:sz="6" w:space="0"/>
              <w:left w:val="single" w:color="E0E0E0" w:sz="6" w:space="0"/>
              <w:bottom w:val="single" w:color="E0E0E0" w:sz="6" w:space="0"/>
              <w:right w:val="single" w:color="E0E0E0" w:sz="6" w:space="0"/>
            </w:tcBorders>
          </w:tcPr>
          <w:p w14:paraId="7EBFAC9F">
            <w:p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产品经理</w:t>
            </w:r>
            <w:r>
              <w:rPr>
                <w:rFonts w:hint="eastAsia" w:ascii="微软雅黑" w:hAnsi="微软雅黑" w:eastAsia="微软雅黑" w:cs="微软雅黑"/>
                <w:sz w:val="24"/>
                <w:szCs w:val="24"/>
              </w:rPr>
              <w:t>​</w:t>
            </w:r>
          </w:p>
        </w:tc>
        <w:tc>
          <w:tcPr>
            <w:tcW w:w="2430" w:type="dxa"/>
            <w:tcBorders>
              <w:top w:val="single" w:color="E0E0E0" w:sz="6" w:space="0"/>
              <w:left w:val="single" w:color="E0E0E0" w:sz="6" w:space="0"/>
              <w:bottom w:val="single" w:color="E0E0E0" w:sz="6" w:space="0"/>
              <w:right w:val="single" w:color="E0E0E0" w:sz="6" w:space="0"/>
            </w:tcBorders>
          </w:tcPr>
          <w:p w14:paraId="2CED039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w:t>
            </w:r>
          </w:p>
        </w:tc>
        <w:tc>
          <w:tcPr>
            <w:tcW w:w="2929" w:type="dxa"/>
            <w:tcBorders>
              <w:top w:val="single" w:color="E0E0E0" w:sz="6" w:space="0"/>
              <w:left w:val="single" w:color="E0E0E0" w:sz="6" w:space="0"/>
              <w:bottom w:val="single" w:color="E0E0E0" w:sz="6" w:space="0"/>
              <w:right w:val="single" w:color="E0E0E0" w:sz="6" w:space="0"/>
            </w:tcBorders>
          </w:tcPr>
          <w:p w14:paraId="5BCAB5B6">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具备医疗软件产品规划经验；能撰写 SRS 及用户手册；协调临床与技术需求。</w:t>
            </w:r>
          </w:p>
        </w:tc>
        <w:tc>
          <w:tcPr>
            <w:tcW w:w="2430" w:type="dxa"/>
            <w:tcBorders>
              <w:top w:val="single" w:color="E0E0E0" w:sz="6" w:space="0"/>
              <w:left w:val="single" w:color="E0E0E0" w:sz="6" w:space="0"/>
              <w:bottom w:val="single" w:color="E0E0E0" w:sz="6" w:space="0"/>
              <w:right w:val="single" w:color="E0E0E0" w:sz="6" w:space="0"/>
            </w:tcBorders>
          </w:tcPr>
          <w:p w14:paraId="7167D9E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有医疗 AI 产品经验者优先</w:t>
            </w:r>
          </w:p>
        </w:tc>
      </w:tr>
      <w:tr w14:paraId="7A6FE9D3">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0" w:hRule="atLeast"/>
        </w:trPr>
        <w:tc>
          <w:tcPr>
            <w:tcW w:w="2430" w:type="dxa"/>
            <w:tcBorders>
              <w:top w:val="single" w:color="E0E0E0" w:sz="6" w:space="0"/>
              <w:left w:val="single" w:color="E0E0E0" w:sz="6" w:space="0"/>
              <w:bottom w:val="single" w:color="E0E0E0" w:sz="6" w:space="0"/>
              <w:right w:val="single" w:color="E0E0E0" w:sz="6" w:space="0"/>
            </w:tcBorders>
          </w:tcPr>
          <w:p w14:paraId="78B98A5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lang w:val="en-US" w:eastAsia="zh-CN"/>
              </w:rPr>
              <w:t>资深科研顾问</w:t>
            </w:r>
            <w:r>
              <w:rPr>
                <w:rFonts w:hint="eastAsia" w:ascii="微软雅黑" w:hAnsi="微软雅黑" w:eastAsia="微软雅黑" w:cs="微软雅黑"/>
                <w:sz w:val="24"/>
                <w:szCs w:val="24"/>
              </w:rPr>
              <w:t>​</w:t>
            </w:r>
          </w:p>
        </w:tc>
        <w:tc>
          <w:tcPr>
            <w:tcW w:w="2430" w:type="dxa"/>
            <w:tcBorders>
              <w:top w:val="single" w:color="E0E0E0" w:sz="6" w:space="0"/>
              <w:left w:val="single" w:color="E0E0E0" w:sz="6" w:space="0"/>
              <w:bottom w:val="single" w:color="E0E0E0" w:sz="6" w:space="0"/>
              <w:right w:val="single" w:color="E0E0E0" w:sz="6" w:space="0"/>
            </w:tcBorders>
          </w:tcPr>
          <w:p w14:paraId="271D995D">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研究生</w:t>
            </w:r>
            <w:r>
              <w:rPr>
                <w:rFonts w:hint="eastAsia" w:ascii="微软雅黑" w:hAnsi="微软雅黑" w:eastAsia="微软雅黑" w:cs="微软雅黑"/>
                <w:sz w:val="24"/>
                <w:szCs w:val="24"/>
              </w:rPr>
              <w:t>及以上</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医学/神经学背景</w:t>
            </w:r>
            <w:r>
              <w:rPr>
                <w:rFonts w:hint="eastAsia" w:ascii="微软雅黑" w:hAnsi="微软雅黑" w:eastAsia="微软雅黑" w:cs="微软雅黑"/>
                <w:sz w:val="24"/>
                <w:szCs w:val="24"/>
              </w:rPr>
              <w:t>）</w:t>
            </w:r>
          </w:p>
        </w:tc>
        <w:tc>
          <w:tcPr>
            <w:tcW w:w="2929" w:type="dxa"/>
            <w:tcBorders>
              <w:top w:val="single" w:color="E0E0E0" w:sz="6" w:space="0"/>
              <w:left w:val="single" w:color="E0E0E0" w:sz="6" w:space="0"/>
              <w:bottom w:val="single" w:color="E0E0E0" w:sz="6" w:space="0"/>
              <w:right w:val="single" w:color="E0E0E0" w:sz="6" w:space="0"/>
            </w:tcBorders>
          </w:tcPr>
          <w:p w14:paraId="08973803">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负责</w:t>
            </w:r>
            <w:r>
              <w:rPr>
                <w:rFonts w:hint="eastAsia" w:ascii="微软雅黑" w:hAnsi="微软雅黑" w:eastAsia="微软雅黑" w:cs="微软雅黑"/>
                <w:sz w:val="24"/>
                <w:szCs w:val="24"/>
              </w:rPr>
              <w:t>配合</w:t>
            </w:r>
            <w:r>
              <w:rPr>
                <w:rFonts w:hint="eastAsia" w:ascii="微软雅黑" w:hAnsi="微软雅黑" w:eastAsia="微软雅黑" w:cs="微软雅黑"/>
                <w:sz w:val="24"/>
                <w:szCs w:val="24"/>
                <w:lang w:val="en-US" w:eastAsia="zh-CN"/>
              </w:rPr>
              <w:t>院方</w:t>
            </w:r>
            <w:r>
              <w:rPr>
                <w:rFonts w:hint="eastAsia" w:ascii="微软雅黑" w:hAnsi="微软雅黑" w:eastAsia="微软雅黑" w:cs="微软雅黑"/>
                <w:sz w:val="24"/>
                <w:szCs w:val="24"/>
              </w:rPr>
              <w:t>完成本项目SCI论文（IF≥3.0）的数据梳理、实验设计支撑工作，匹配项目产出要求</w:t>
            </w:r>
            <w:r>
              <w:rPr>
                <w:rFonts w:hint="eastAsia" w:ascii="微软雅黑" w:hAnsi="微软雅黑" w:eastAsia="微软雅黑" w:cs="微软雅黑"/>
                <w:sz w:val="24"/>
                <w:szCs w:val="24"/>
                <w:lang w:eastAsia="zh-CN"/>
              </w:rPr>
              <w:t>。</w:t>
            </w:r>
          </w:p>
        </w:tc>
        <w:tc>
          <w:tcPr>
            <w:tcW w:w="2430" w:type="dxa"/>
            <w:tcBorders>
              <w:top w:val="single" w:color="E0E0E0" w:sz="6" w:space="0"/>
              <w:left w:val="single" w:color="E0E0E0" w:sz="6" w:space="0"/>
              <w:bottom w:val="single" w:color="E0E0E0" w:sz="6" w:space="0"/>
              <w:right w:val="single" w:color="E0E0E0" w:sz="6" w:space="0"/>
            </w:tcBorders>
          </w:tcPr>
          <w:p w14:paraId="4CEEC282">
            <w:pPr>
              <w:rPr>
                <w:rFonts w:hint="default" w:ascii="微软雅黑" w:hAnsi="微软雅黑" w:eastAsia="微软雅黑" w:cs="微软雅黑"/>
                <w:sz w:val="24"/>
                <w:szCs w:val="24"/>
                <w:lang w:val="en-US"/>
              </w:rPr>
            </w:pPr>
            <w:r>
              <w:rPr>
                <w:rFonts w:hint="eastAsia" w:ascii="微软雅黑" w:hAnsi="微软雅黑" w:eastAsia="微软雅黑" w:cs="微软雅黑"/>
                <w:sz w:val="24"/>
                <w:szCs w:val="24"/>
              </w:rPr>
              <w:t>主持 / 参与大型医学 AI 真实世界科研项目，拥有国际顶刊署名成果，精通科研设计与学术成果转化</w:t>
            </w:r>
          </w:p>
        </w:tc>
      </w:tr>
    </w:tbl>
    <w:p w14:paraId="210F1BB2">
      <w:pPr>
        <w:pStyle w:val="2"/>
        <w:bidi w:val="0"/>
        <w:rPr>
          <w:rFonts w:hint="eastAsia" w:ascii="微软雅黑" w:hAnsi="微软雅黑" w:eastAsia="微软雅黑" w:cs="微软雅黑"/>
          <w:szCs w:val="24"/>
        </w:rPr>
      </w:pPr>
      <w:bookmarkStart w:id="6" w:name="mqiuseiyl66pbkg5jwb"/>
      <w:r>
        <w:rPr>
          <w:rFonts w:hint="eastAsia" w:ascii="微软雅黑" w:hAnsi="微软雅黑" w:eastAsia="微软雅黑" w:cs="微软雅黑"/>
          <w:sz w:val="24"/>
          <w:szCs w:val="24"/>
          <w:lang w:val="en-US" w:eastAsia="zh-CN"/>
        </w:rPr>
        <w:t>4.2</w:t>
      </w:r>
      <w:r>
        <w:rPr>
          <w:rFonts w:hint="eastAsia" w:ascii="微软雅黑" w:hAnsi="微软雅黑" w:eastAsia="微软雅黑" w:cs="微软雅黑"/>
          <w:sz w:val="24"/>
          <w:szCs w:val="24"/>
        </w:rPr>
        <w:t>团队合规与附加要求</w:t>
      </w:r>
      <w:bookmarkEnd w:id="6"/>
    </w:p>
    <w:p w14:paraId="754D97A8">
      <w:pPr>
        <w:numPr>
          <w:ilvl w:val="0"/>
          <w:numId w:val="7"/>
        </w:num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保密合规：</w:t>
      </w:r>
      <w:r>
        <w:rPr>
          <w:rFonts w:hint="eastAsia" w:ascii="微软雅黑" w:hAnsi="微软雅黑" w:eastAsia="微软雅黑" w:cs="微软雅黑"/>
          <w:sz w:val="24"/>
          <w:szCs w:val="24"/>
        </w:rPr>
        <w:t>​ 全体成员须签署保密协议。</w:t>
      </w:r>
    </w:p>
    <w:p w14:paraId="7D94587B">
      <w:pPr>
        <w:numPr>
          <w:ilvl w:val="0"/>
          <w:numId w:val="7"/>
        </w:num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驻场要求：</w:t>
      </w:r>
      <w:r>
        <w:rPr>
          <w:rFonts w:hint="eastAsia" w:ascii="微软雅黑" w:hAnsi="微软雅黑" w:eastAsia="微软雅黑" w:cs="微软雅黑"/>
          <w:sz w:val="24"/>
          <w:szCs w:val="24"/>
        </w:rPr>
        <w:t xml:space="preserve">​ 信号处理、算法及部署工程师在关键阶段（采集、训练、集成期）须提供 </w:t>
      </w:r>
      <w:r>
        <w:rPr>
          <w:rFonts w:hint="eastAsia" w:ascii="微软雅黑" w:hAnsi="微软雅黑" w:eastAsia="微软雅黑" w:cs="微软雅黑"/>
          <w:b/>
          <w:sz w:val="24"/>
          <w:szCs w:val="24"/>
        </w:rPr>
        <w:t>不少于 4 次</w:t>
      </w:r>
      <w:r>
        <w:rPr>
          <w:rFonts w:hint="eastAsia" w:ascii="微软雅黑" w:hAnsi="微软雅黑" w:eastAsia="微软雅黑" w:cs="微软雅黑"/>
          <w:sz w:val="24"/>
          <w:szCs w:val="24"/>
        </w:rPr>
        <w:t>​ 现场支持。</w:t>
      </w:r>
    </w:p>
    <w:p w14:paraId="2D1AAB09">
      <w:pPr>
        <w:numPr>
          <w:ilvl w:val="0"/>
          <w:numId w:val="7"/>
        </w:numPr>
        <w:rPr>
          <w:rFonts w:hint="eastAsia" w:ascii="微软雅黑" w:hAnsi="微软雅黑" w:eastAsia="微软雅黑" w:cs="微软雅黑"/>
          <w:sz w:val="24"/>
          <w:szCs w:val="24"/>
        </w:rPr>
      </w:pPr>
      <w:r>
        <w:rPr>
          <w:rFonts w:hint="eastAsia" w:ascii="微软雅黑" w:hAnsi="微软雅黑" w:eastAsia="微软雅黑" w:cs="微软雅黑"/>
          <w:b/>
          <w:sz w:val="24"/>
          <w:szCs w:val="24"/>
        </w:rPr>
        <w:t>人员稳定性：</w:t>
      </w:r>
      <w:r>
        <w:rPr>
          <w:rFonts w:hint="eastAsia" w:ascii="微软雅黑" w:hAnsi="微软雅黑" w:eastAsia="微软雅黑" w:cs="微软雅黑"/>
          <w:sz w:val="24"/>
          <w:szCs w:val="24"/>
        </w:rPr>
        <w:t xml:space="preserve">​ 核心技术岗变更须提前 </w:t>
      </w:r>
      <w:r>
        <w:rPr>
          <w:rFonts w:hint="eastAsia" w:ascii="微软雅黑" w:hAnsi="微软雅黑" w:eastAsia="微软雅黑" w:cs="微软雅黑"/>
          <w:b/>
          <w:sz w:val="24"/>
          <w:szCs w:val="24"/>
        </w:rPr>
        <w:t>30 天</w:t>
      </w:r>
      <w:r>
        <w:rPr>
          <w:rFonts w:hint="eastAsia" w:ascii="微软雅黑" w:hAnsi="微软雅黑" w:eastAsia="微软雅黑" w:cs="微软雅黑"/>
          <w:sz w:val="24"/>
          <w:szCs w:val="24"/>
        </w:rPr>
        <w:t>​书面申请并获得甲方同意。</w:t>
      </w:r>
    </w:p>
    <w:p w14:paraId="15A47427">
      <w:pPr>
        <w:pStyle w:val="4"/>
        <w:rPr>
          <w:rFonts w:hint="eastAsia" w:ascii="微软雅黑" w:hAnsi="微软雅黑" w:eastAsia="微软雅黑" w:cs="微软雅黑"/>
          <w:sz w:val="24"/>
          <w:szCs w:val="24"/>
        </w:rPr>
      </w:pPr>
      <w:bookmarkStart w:id="7" w:name="mqiusej1kjhtdrnbr3"/>
      <w:bookmarkEnd w:id="7"/>
    </w:p>
    <w:p w14:paraId="7BB17EDA">
      <w:pPr>
        <w:rPr>
          <w:rFonts w:hint="eastAsia" w:ascii="微软雅黑" w:hAnsi="微软雅黑" w:eastAsia="微软雅黑" w:cs="微软雅黑"/>
          <w:sz w:val="24"/>
          <w:szCs w:val="24"/>
        </w:rPr>
      </w:pPr>
    </w:p>
    <w:sectPr>
      <w:pgSz w:w="13380" w:h="16905"/>
      <w:pgMar w:top="720" w:right="1080" w:bottom="720" w:left="1080" w:header="850" w:footer="9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C61B62"/>
    <w:multiLevelType w:val="multilevel"/>
    <w:tmpl w:val="93C61B6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BF205925"/>
    <w:multiLevelType w:val="singleLevel"/>
    <w:tmpl w:val="BF205925"/>
    <w:lvl w:ilvl="0" w:tentative="0">
      <w:start w:val="1"/>
      <w:numFmt w:val="decimal"/>
      <w:lvlText w:val="%1."/>
      <w:lvlJc w:val="left"/>
      <w:pPr>
        <w:ind w:left="420" w:hanging="420"/>
      </w:pPr>
    </w:lvl>
  </w:abstractNum>
  <w:abstractNum w:abstractNumId="2">
    <w:nsid w:val="DE1AADB6"/>
    <w:multiLevelType w:val="multilevel"/>
    <w:tmpl w:val="DE1AADB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F4846DFB"/>
    <w:multiLevelType w:val="singleLevel"/>
    <w:tmpl w:val="F4846DFB"/>
    <w:lvl w:ilvl="0" w:tentative="0">
      <w:start w:val="1"/>
      <w:numFmt w:val="chineseCounting"/>
      <w:suff w:val="space"/>
      <w:lvlText w:val="%1、"/>
      <w:lvlJc w:val="left"/>
      <w:rPr>
        <w:rFonts w:hint="eastAsia"/>
      </w:rPr>
    </w:lvl>
  </w:abstractNum>
  <w:abstractNum w:abstractNumId="4">
    <w:nsid w:val="05E249BE"/>
    <w:multiLevelType w:val="multilevel"/>
    <w:tmpl w:val="05E249B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32CA9CD1"/>
    <w:multiLevelType w:val="multilevel"/>
    <w:tmpl w:val="32CA9CD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6CB9ECDA"/>
    <w:multiLevelType w:val="multilevel"/>
    <w:tmpl w:val="6CB9ECD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3"/>
  </w:num>
  <w:num w:numId="2">
    <w:abstractNumId w:val="0"/>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8A4BB4"/>
    <w:rsid w:val="03D567D9"/>
    <w:rsid w:val="04820ADC"/>
    <w:rsid w:val="06751065"/>
    <w:rsid w:val="0A014251"/>
    <w:rsid w:val="103A226A"/>
    <w:rsid w:val="13857CA0"/>
    <w:rsid w:val="145F4995"/>
    <w:rsid w:val="158346B4"/>
    <w:rsid w:val="181E2472"/>
    <w:rsid w:val="2560231B"/>
    <w:rsid w:val="3A7A7984"/>
    <w:rsid w:val="3B007A89"/>
    <w:rsid w:val="3D650AB0"/>
    <w:rsid w:val="3F0A537A"/>
    <w:rsid w:val="42707BEA"/>
    <w:rsid w:val="448E01B9"/>
    <w:rsid w:val="4EA90BEC"/>
    <w:rsid w:val="567C6706"/>
    <w:rsid w:val="5753390A"/>
    <w:rsid w:val="5FC353A5"/>
    <w:rsid w:val="612661EC"/>
    <w:rsid w:val="6C494E84"/>
    <w:rsid w:val="6E1119D2"/>
    <w:rsid w:val="768F41F5"/>
    <w:rsid w:val="7AD938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rPr>
  </w:style>
  <w:style w:type="paragraph" w:styleId="2">
    <w:name w:val="heading 1"/>
    <w:link w:val="12"/>
    <w:qFormat/>
    <w:uiPriority w:val="0"/>
    <w:pPr>
      <w:keepNext/>
      <w:keepLines/>
      <w:spacing w:before="348" w:after="210"/>
    </w:pPr>
    <w:rPr>
      <w:rFonts w:asciiTheme="minorHAnsi" w:hAnsiTheme="minorHAnsi" w:eastAsiaTheme="minorEastAsia" w:cstheme="minorBidi"/>
      <w:b/>
      <w:kern w:val="2"/>
      <w:sz w:val="34"/>
    </w:rPr>
  </w:style>
  <w:style w:type="paragraph" w:styleId="3">
    <w:name w:val="heading 2"/>
    <w:qFormat/>
    <w:uiPriority w:val="0"/>
    <w:pPr>
      <w:keepNext/>
      <w:keepLines/>
      <w:spacing w:before="348" w:after="190"/>
    </w:pPr>
    <w:rPr>
      <w:rFonts w:asciiTheme="minorHAnsi" w:hAnsiTheme="minorHAnsi" w:eastAsiaTheme="minorEastAsia" w:cstheme="minorBidi"/>
      <w:b/>
      <w:kern w:val="2"/>
      <w:sz w:val="28"/>
    </w:rPr>
  </w:style>
  <w:style w:type="paragraph" w:styleId="4">
    <w:name w:val="heading 3"/>
    <w:qFormat/>
    <w:uiPriority w:val="0"/>
    <w:pPr>
      <w:keepNext/>
      <w:keepLines/>
      <w:spacing w:before="348" w:after="170"/>
    </w:pPr>
    <w:rPr>
      <w:rFonts w:asciiTheme="minorHAnsi" w:hAnsiTheme="minorHAnsi" w:eastAsiaTheme="minorEastAsia" w:cstheme="minorBidi"/>
      <w:b/>
      <w:kern w:val="2"/>
      <w:sz w:val="2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character" w:styleId="8">
    <w:name w:val="Strong"/>
    <w:basedOn w:val="7"/>
    <w:qFormat/>
    <w:uiPriority w:val="0"/>
    <w:rPr>
      <w:b/>
    </w:rPr>
  </w:style>
  <w:style w:type="paragraph" w:customStyle="1" w:styleId="9">
    <w:name w:val="dingdocnormal"/>
    <w:qFormat/>
    <w:uiPriority w:val="0"/>
    <w:rPr>
      <w:rFonts w:asciiTheme="minorHAnsi" w:hAnsiTheme="minorHAnsi" w:eastAsiaTheme="minorEastAsia" w:cstheme="minorBidi"/>
      <w:kern w:val="2"/>
      <w:sz w:val="24"/>
    </w:rPr>
  </w:style>
  <w:style w:type="table" w:customStyle="1" w:styleId="10">
    <w:name w:val="_Style 5"/>
    <w:qFormat/>
    <w:uiPriority w:val="0"/>
    <w:tblPr>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Pr>
  </w:style>
  <w:style w:type="table" w:customStyle="1" w:styleId="11">
    <w:name w:val="_Style 6"/>
    <w:basedOn w:val="10"/>
    <w:qFormat/>
    <w:uiPriority w:val="0"/>
    <w:tblStylePr w:type="firstRow">
      <w:tcPr>
        <w:shd w:val="clear" w:color="auto" w:fill="F5F6F7"/>
      </w:tcPr>
    </w:tblStylePr>
    <w:tblStylePr w:type="firstCol">
      <w:tcPr>
        <w:shd w:val="clear" w:color="auto" w:fill="F5F6F7"/>
      </w:tcPr>
    </w:tblStylePr>
  </w:style>
  <w:style w:type="character" w:customStyle="1" w:styleId="12">
    <w:name w:val="标题 1 Char"/>
    <w:link w:val="2"/>
    <w:qFormat/>
    <w:uiPriority w:val="0"/>
    <w:rPr>
      <w:rFonts w:asciiTheme="minorHAnsi" w:hAnsiTheme="minorHAnsi" w:eastAsiaTheme="minorEastAsia" w:cstheme="minorBidi"/>
      <w:b/>
      <w:kern w:val="2"/>
      <w:sz w:val="3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2799</Words>
  <Characters>3024</Characters>
  <TotalTime>18</TotalTime>
  <ScaleCrop>false</ScaleCrop>
  <LinksUpToDate>false</LinksUpToDate>
  <CharactersWithSpaces>3092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dc:description>DingTalk Document</dc:description>
  <cp:lastModifiedBy>王泽峰michael</cp:lastModifiedBy>
  <dcterms:modified xsi:type="dcterms:W3CDTF">2026-06-26T05:10:39Z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eyJoZGlkIjoiZTc3M2QyZDdhYjFhZGJhMGU2ZGU2N2VmZDZkZTQ0YjEiLCJ1c2VySWQiOiIxMzY3MTU2NDQzIn0=</vt:lpwstr>
  </property>
  <property fmtid="{D5CDD505-2E9C-101B-9397-08002B2CF9AE}" pid="3" name="KSOProductBuildVer">
    <vt:lpwstr>2052-12.1.0.26895</vt:lpwstr>
  </property>
  <property fmtid="{D5CDD505-2E9C-101B-9397-08002B2CF9AE}" pid="4" name="ICV">
    <vt:lpwstr>EA7AE9AB362A4FD299E00DDB81143B74_13</vt:lpwstr>
  </property>
</Properties>
</file>