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ind w:firstLine="0" w:firstLineChars="0"/>
        <w:jc w:val="center"/>
        <w:outlineLvl w:val="0"/>
        <w:rPr>
          <w:rFonts w:ascii="方正小标宋简体" w:hAnsi="宋体"/>
          <w:color w:val="0D0D0D"/>
          <w:sz w:val="36"/>
          <w:szCs w:val="36"/>
        </w:rPr>
      </w:pPr>
      <w:r>
        <w:rPr>
          <w:rFonts w:ascii="方正小标宋简体" w:hAnsi="宋体"/>
          <w:color w:val="0D0D0D"/>
          <w:sz w:val="36"/>
          <w:szCs w:val="36"/>
        </w:rPr>
        <w:t>国家科学技术进步奖推荐书</w:t>
      </w:r>
      <w:r>
        <w:rPr>
          <w:rFonts w:hint="eastAsia" w:ascii="方正小标宋简体" w:hAnsi="宋体"/>
          <w:color w:val="0D0D0D"/>
          <w:sz w:val="36"/>
          <w:szCs w:val="36"/>
        </w:rPr>
        <w:t>公示</w:t>
      </w:r>
    </w:p>
    <w:p>
      <w:pPr>
        <w:pStyle w:val="5"/>
        <w:numPr>
          <w:ilvl w:val="0"/>
          <w:numId w:val="1"/>
        </w:numPr>
        <w:spacing w:before="100"/>
        <w:ind w:firstLine="0" w:firstLineChars="0"/>
        <w:outlineLvl w:val="1"/>
        <w:rPr>
          <w:rFonts w:ascii="宋体" w:hAnsi="宋体"/>
          <w:b/>
          <w:color w:val="0D0D0D"/>
          <w:sz w:val="28"/>
        </w:rPr>
      </w:pPr>
      <w:r>
        <w:rPr>
          <w:rFonts w:ascii="宋体" w:hAnsi="宋体"/>
          <w:b/>
          <w:color w:val="0D0D0D"/>
          <w:sz w:val="28"/>
        </w:rPr>
        <w:t>项目</w:t>
      </w:r>
      <w:r>
        <w:rPr>
          <w:rFonts w:hint="eastAsia" w:ascii="宋体" w:hAnsi="宋体"/>
          <w:b/>
          <w:color w:val="0D0D0D"/>
          <w:sz w:val="28"/>
        </w:rPr>
        <w:t>名称：股骨头坏死的基础、临床及材料的转化应用</w:t>
      </w:r>
    </w:p>
    <w:p>
      <w:pPr>
        <w:pStyle w:val="5"/>
        <w:numPr>
          <w:ilvl w:val="0"/>
          <w:numId w:val="1"/>
        </w:numPr>
        <w:spacing w:before="100"/>
        <w:ind w:firstLine="0" w:firstLineChars="0"/>
        <w:outlineLvl w:val="1"/>
        <w:rPr>
          <w:rFonts w:ascii="宋体" w:hAnsi="宋体"/>
          <w:b/>
          <w:color w:val="0D0D0D"/>
          <w:sz w:val="28"/>
        </w:rPr>
      </w:pPr>
      <w:r>
        <w:rPr>
          <w:rFonts w:ascii="宋体" w:hAnsi="宋体"/>
          <w:b/>
          <w:color w:val="0D0D0D"/>
          <w:sz w:val="28"/>
        </w:rPr>
        <w:t>推荐单位意见</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14"/>
              <w:spacing w:line="240" w:lineRule="auto"/>
              <w:ind w:firstLine="0" w:firstLineChars="0"/>
              <w:jc w:val="center"/>
              <w:rPr>
                <w:rFonts w:ascii="宋体" w:hAnsi="宋体"/>
                <w:color w:val="0D0D0D"/>
                <w:sz w:val="21"/>
              </w:rPr>
            </w:pPr>
            <w:bookmarkStart w:id="0" w:name="OLE_LINK2" w:colFirst="1" w:colLast="3"/>
            <w:r>
              <w:rPr>
                <w:rFonts w:hint="eastAsia" w:ascii="宋体" w:hAnsi="宋体"/>
                <w:color w:val="0D0D0D"/>
                <w:sz w:val="21"/>
              </w:rPr>
              <w:t>推荐单位</w:t>
            </w:r>
          </w:p>
        </w:tc>
        <w:tc>
          <w:tcPr>
            <w:tcW w:w="7686" w:type="dxa"/>
            <w:gridSpan w:val="3"/>
            <w:tcBorders>
              <w:top w:val="single" w:color="auto" w:sz="8" w:space="0"/>
            </w:tcBorders>
            <w:vAlign w:val="center"/>
          </w:tcPr>
          <w:p>
            <w:pPr>
              <w:pStyle w:val="14"/>
              <w:spacing w:line="240" w:lineRule="auto"/>
              <w:ind w:firstLine="420"/>
              <w:jc w:val="center"/>
              <w:rPr>
                <w:rFonts w:ascii="宋体" w:hAnsi="宋体"/>
                <w:color w:val="0D0D0D"/>
                <w:sz w:val="21"/>
              </w:rPr>
            </w:pPr>
            <w:r>
              <w:rPr>
                <w:rFonts w:hint="eastAsia" w:ascii="宋体" w:hAnsi="宋体"/>
                <w:color w:val="0D0D0D"/>
                <w:sz w:val="21"/>
              </w:rPr>
              <w:t>辽宁省科学技术厅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14"/>
              <w:spacing w:line="240" w:lineRule="auto"/>
              <w:ind w:firstLine="0" w:firstLineChars="0"/>
              <w:jc w:val="center"/>
              <w:rPr>
                <w:rFonts w:ascii="宋体" w:hAnsi="宋体"/>
                <w:color w:val="0D0D0D"/>
                <w:sz w:val="21"/>
              </w:rPr>
            </w:pPr>
            <w:r>
              <w:rPr>
                <w:rFonts w:hint="eastAsia" w:ascii="宋体" w:hAnsi="宋体"/>
                <w:color w:val="0D0D0D"/>
                <w:sz w:val="21"/>
              </w:rPr>
              <w:t>通讯地址</w:t>
            </w:r>
          </w:p>
        </w:tc>
        <w:tc>
          <w:tcPr>
            <w:tcW w:w="4482" w:type="dxa"/>
            <w:vAlign w:val="center"/>
          </w:tcPr>
          <w:p>
            <w:pPr>
              <w:pStyle w:val="14"/>
              <w:spacing w:line="240" w:lineRule="auto"/>
              <w:ind w:firstLine="420"/>
              <w:jc w:val="center"/>
              <w:rPr>
                <w:rFonts w:ascii="宋体" w:hAnsi="宋体"/>
                <w:color w:val="0D0D0D"/>
                <w:sz w:val="21"/>
              </w:rPr>
            </w:pPr>
            <w:r>
              <w:rPr>
                <w:rFonts w:hint="eastAsia" w:ascii="宋体" w:hAnsi="宋体"/>
                <w:color w:val="0D0D0D"/>
                <w:sz w:val="21"/>
              </w:rPr>
              <w:t>沈阳市和平区三好街24号</w:t>
            </w:r>
          </w:p>
        </w:tc>
        <w:tc>
          <w:tcPr>
            <w:tcW w:w="1092" w:type="dxa"/>
            <w:vAlign w:val="center"/>
          </w:tcPr>
          <w:p>
            <w:pPr>
              <w:pStyle w:val="14"/>
              <w:spacing w:line="240" w:lineRule="auto"/>
              <w:ind w:firstLine="0" w:firstLineChars="0"/>
              <w:jc w:val="center"/>
              <w:rPr>
                <w:rFonts w:ascii="宋体" w:hAnsi="宋体"/>
                <w:color w:val="0D0D0D"/>
                <w:sz w:val="21"/>
              </w:rPr>
            </w:pPr>
            <w:r>
              <w:rPr>
                <w:rFonts w:hint="eastAsia" w:ascii="宋体" w:hAnsi="宋体"/>
                <w:color w:val="0D0D0D"/>
                <w:sz w:val="21"/>
              </w:rPr>
              <w:t>邮政编码</w:t>
            </w:r>
          </w:p>
        </w:tc>
        <w:tc>
          <w:tcPr>
            <w:tcW w:w="2112" w:type="dxa"/>
            <w:vAlign w:val="center"/>
          </w:tcPr>
          <w:p>
            <w:pPr>
              <w:pStyle w:val="14"/>
              <w:spacing w:line="240" w:lineRule="auto"/>
              <w:ind w:firstLine="420"/>
              <w:rPr>
                <w:rFonts w:ascii="宋体" w:hAnsi="宋体"/>
                <w:color w:val="0D0D0D"/>
                <w:sz w:val="21"/>
              </w:rPr>
            </w:pPr>
            <w:r>
              <w:rPr>
                <w:rFonts w:hint="eastAsia" w:ascii="宋体" w:hAnsi="宋体"/>
                <w:color w:val="0D0D0D"/>
                <w:sz w:val="21"/>
              </w:rPr>
              <w:t>110004</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14"/>
              <w:spacing w:line="240" w:lineRule="auto"/>
              <w:ind w:firstLine="0" w:firstLineChars="0"/>
              <w:jc w:val="center"/>
              <w:rPr>
                <w:rFonts w:ascii="宋体" w:hAnsi="宋体"/>
                <w:color w:val="0D0D0D"/>
                <w:sz w:val="21"/>
              </w:rPr>
            </w:pPr>
            <w:r>
              <w:rPr>
                <w:rFonts w:hint="eastAsia" w:ascii="宋体" w:hAnsi="宋体"/>
                <w:color w:val="0D0D0D"/>
                <w:sz w:val="21"/>
              </w:rPr>
              <w:t>联 系 人</w:t>
            </w:r>
          </w:p>
        </w:tc>
        <w:tc>
          <w:tcPr>
            <w:tcW w:w="4482" w:type="dxa"/>
            <w:vAlign w:val="center"/>
          </w:tcPr>
          <w:p>
            <w:pPr>
              <w:pStyle w:val="14"/>
              <w:spacing w:line="240" w:lineRule="auto"/>
              <w:ind w:firstLine="420"/>
              <w:jc w:val="center"/>
              <w:rPr>
                <w:rFonts w:ascii="宋体" w:hAnsi="宋体"/>
                <w:color w:val="0D0D0D"/>
                <w:sz w:val="21"/>
              </w:rPr>
            </w:pPr>
          </w:p>
        </w:tc>
        <w:tc>
          <w:tcPr>
            <w:tcW w:w="1092" w:type="dxa"/>
            <w:vAlign w:val="center"/>
          </w:tcPr>
          <w:p>
            <w:pPr>
              <w:pStyle w:val="14"/>
              <w:spacing w:line="240" w:lineRule="auto"/>
              <w:ind w:firstLine="0" w:firstLineChars="0"/>
              <w:jc w:val="center"/>
              <w:rPr>
                <w:rFonts w:ascii="宋体" w:hAnsi="宋体"/>
                <w:color w:val="0D0D0D"/>
                <w:sz w:val="21"/>
              </w:rPr>
            </w:pPr>
            <w:r>
              <w:rPr>
                <w:rFonts w:hint="eastAsia" w:ascii="宋体" w:hAnsi="宋体"/>
                <w:color w:val="0D0D0D"/>
                <w:sz w:val="21"/>
              </w:rPr>
              <w:t>联系电话</w:t>
            </w:r>
          </w:p>
        </w:tc>
        <w:tc>
          <w:tcPr>
            <w:tcW w:w="2112" w:type="dxa"/>
          </w:tcPr>
          <w:p>
            <w:pPr>
              <w:pStyle w:val="14"/>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14"/>
              <w:spacing w:line="240" w:lineRule="auto"/>
              <w:ind w:firstLine="0" w:firstLineChars="0"/>
              <w:jc w:val="center"/>
              <w:rPr>
                <w:rFonts w:ascii="宋体" w:hAnsi="宋体"/>
                <w:color w:val="0D0D0D"/>
                <w:sz w:val="21"/>
              </w:rPr>
            </w:pPr>
            <w:r>
              <w:rPr>
                <w:rFonts w:hint="eastAsia" w:ascii="宋体" w:hAnsi="宋体"/>
                <w:color w:val="0D0D0D"/>
                <w:sz w:val="21"/>
              </w:rPr>
              <w:t>电子邮箱</w:t>
            </w:r>
          </w:p>
        </w:tc>
        <w:tc>
          <w:tcPr>
            <w:tcW w:w="4482" w:type="dxa"/>
            <w:vAlign w:val="center"/>
          </w:tcPr>
          <w:p>
            <w:pPr>
              <w:pStyle w:val="14"/>
              <w:spacing w:line="240" w:lineRule="auto"/>
              <w:ind w:firstLine="420"/>
              <w:jc w:val="center"/>
              <w:rPr>
                <w:rFonts w:ascii="宋体" w:hAnsi="宋体"/>
                <w:color w:val="0D0D0D"/>
                <w:sz w:val="21"/>
              </w:rPr>
            </w:pPr>
          </w:p>
        </w:tc>
        <w:tc>
          <w:tcPr>
            <w:tcW w:w="1092" w:type="dxa"/>
            <w:vAlign w:val="center"/>
          </w:tcPr>
          <w:p>
            <w:pPr>
              <w:pStyle w:val="14"/>
              <w:spacing w:line="240" w:lineRule="auto"/>
              <w:ind w:firstLine="0" w:firstLineChars="0"/>
              <w:jc w:val="center"/>
              <w:rPr>
                <w:rFonts w:ascii="宋体" w:hAnsi="宋体"/>
                <w:color w:val="0D0D0D"/>
                <w:sz w:val="21"/>
              </w:rPr>
            </w:pPr>
            <w:r>
              <w:rPr>
                <w:rFonts w:hint="eastAsia" w:ascii="宋体" w:hAnsi="宋体"/>
                <w:color w:val="0D0D0D"/>
                <w:sz w:val="21"/>
              </w:rPr>
              <w:t>传    真</w:t>
            </w:r>
          </w:p>
        </w:tc>
        <w:tc>
          <w:tcPr>
            <w:tcW w:w="2112" w:type="dxa"/>
          </w:tcPr>
          <w:p>
            <w:pPr>
              <w:pStyle w:val="14"/>
              <w:spacing w:line="240" w:lineRule="auto"/>
              <w:ind w:firstLine="42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9" w:hRule="atLeast"/>
          <w:jc w:val="center"/>
        </w:trPr>
        <w:tc>
          <w:tcPr>
            <w:tcW w:w="9072" w:type="dxa"/>
            <w:gridSpan w:val="4"/>
          </w:tcPr>
          <w:p>
            <w:pPr>
              <w:rPr>
                <w:rFonts w:ascii="AdobeSongStd-Light" w:hAnsi="AdobeSongStd-Light" w:eastAsia="AdobeSongStd-Light"/>
                <w:sz w:val="20"/>
              </w:rPr>
            </w:pPr>
            <w:r>
              <w:rPr>
                <w:rFonts w:hint="eastAsia" w:ascii="宋体" w:hAnsi="宋体"/>
                <w:color w:val="0D0D0D"/>
              </w:rPr>
              <w:t>推荐意见：</w:t>
            </w:r>
          </w:p>
          <w:p>
            <w:pPr>
              <w:rPr>
                <w:rFonts w:ascii="宋体" w:hAnsi="宋体"/>
                <w:color w:val="0D0D0D"/>
              </w:rPr>
            </w:pPr>
          </w:p>
          <w:p>
            <w:pPr>
              <w:pStyle w:val="15"/>
              <w:ind w:firstLine="480" w:firstLineChars="200"/>
              <w:rPr>
                <w:rFonts w:ascii="宋体" w:hAnsi="宋体" w:eastAsia="宋体"/>
              </w:rPr>
            </w:pPr>
            <w:r>
              <w:rPr>
                <w:rFonts w:hint="eastAsia" w:ascii="宋体" w:hAnsi="宋体" w:eastAsia="宋体" w:cs="楷体"/>
              </w:rPr>
              <w:t>我</w:t>
            </w:r>
            <w:r>
              <w:rPr>
                <w:rFonts w:hint="eastAsia" w:ascii="宋体" w:hAnsi="宋体" w:eastAsia="宋体"/>
              </w:rPr>
              <w:t>单位认真审阅了该项目推荐书及附件材料，确认全部材料真实有效，相关栏目均符合国家科学技术奖励的填写要求。</w:t>
            </w:r>
          </w:p>
          <w:p>
            <w:pPr>
              <w:pStyle w:val="15"/>
              <w:ind w:firstLine="480" w:firstLineChars="200"/>
              <w:rPr>
                <w:rFonts w:ascii="宋体" w:hAnsi="宋体" w:eastAsia="宋体"/>
              </w:rPr>
            </w:pPr>
            <w:r>
              <w:rPr>
                <w:rFonts w:hint="eastAsia" w:ascii="宋体" w:hAnsi="宋体" w:eastAsia="宋体"/>
              </w:rPr>
              <w:t>按照要求，我单位和项目完成人所在单位都已对该项目的拟推荐情况进行了公示，目前无异议。</w:t>
            </w:r>
          </w:p>
          <w:p>
            <w:pPr>
              <w:pStyle w:val="15"/>
              <w:ind w:firstLine="480" w:firstLineChars="200"/>
              <w:rPr>
                <w:rFonts w:ascii="宋体" w:hAnsi="宋体" w:eastAsia="宋体"/>
              </w:rPr>
            </w:pPr>
            <w:r>
              <w:rPr>
                <w:rFonts w:hint="eastAsia" w:ascii="宋体" w:hAnsi="宋体" w:eastAsia="宋体"/>
              </w:rPr>
              <w:t>该项目揭示了股骨头坏死发病的流行病学特点，对激素性骨坏死高危人群的筛选、检测及有效干预进行了研究,确定了</w:t>
            </w:r>
            <w:r>
              <w:rPr>
                <w:rFonts w:ascii="宋体" w:hAnsi="宋体" w:eastAsia="宋体" w:cs="宋体"/>
              </w:rPr>
              <w:t>重症急性呼吸综合征</w:t>
            </w:r>
            <w:r>
              <w:rPr>
                <w:rFonts w:hint="eastAsia" w:ascii="宋体" w:hAnsi="宋体" w:eastAsia="宋体" w:cs="宋体"/>
              </w:rPr>
              <w:t>(SARS)</w:t>
            </w:r>
            <w:r>
              <w:rPr>
                <w:rFonts w:hint="eastAsia" w:ascii="宋体" w:hAnsi="宋体" w:eastAsia="宋体"/>
              </w:rPr>
              <w:t>后激素性骨坏死病人病情发生发展的特点。建立了可靠的激素性骨坏死动物模型，为骨坏死的发病机理和临床防治提供了研究平台。项目团队组织骨坏死基础、临床治疗领域的专家，制定了中国股骨头坏死分期分型和诊治指南，规范了骨坏死的诊治。针对早期骨坏死的病变特点，提出了骨坏死的基于动静脉系统的理论体系，应用髓芯减压联合骨髓基质干细胞技术进行了有效治疗。对于青壮年骨坏死中、晚期股骨头破坏严重的难题，原创性提出显微修复与再造理论，建立多种带血运骨瓣转移重建股骨头的系列治疗方案，结合创新生物材料的应用，使青壮年中晚期骨坏死得到有效治疗，该技术有效性处于国际领先水平。项目组累计完成逾万例的骨坏死保头治疗，相关技术及术式经全国各大医院开展后取得了良好的效果，推迟或避免了因骨坏死而导致的人工髋关节置换手术，减轻了患者的经济负担，社会效益显著。</w:t>
            </w:r>
          </w:p>
          <w:p>
            <w:pPr>
              <w:pStyle w:val="15"/>
              <w:ind w:firstLine="480" w:firstLineChars="200"/>
              <w:rPr>
                <w:rFonts w:ascii="宋体" w:hAnsi="宋体"/>
                <w:b/>
                <w:bCs/>
                <w:strike/>
                <w:color w:val="0D0D0D"/>
              </w:rPr>
            </w:pPr>
            <w:r>
              <w:rPr>
                <w:rFonts w:hint="eastAsia" w:ascii="宋体" w:hAnsi="宋体" w:eastAsia="宋体"/>
              </w:rPr>
              <w:t>对照国家科学技术进步奖授奖条件，推荐该项目申报2017年度国家科学技术进步  一等奖。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0" w:hRule="atLeast"/>
          <w:jc w:val="center"/>
        </w:trPr>
        <w:tc>
          <w:tcPr>
            <w:tcW w:w="9072" w:type="dxa"/>
            <w:gridSpan w:val="4"/>
            <w:tcBorders>
              <w:top w:val="single" w:color="auto" w:sz="4" w:space="0"/>
              <w:left w:val="single" w:color="auto" w:sz="8" w:space="0"/>
              <w:bottom w:val="single" w:color="auto" w:sz="8" w:space="0"/>
            </w:tcBorders>
          </w:tcPr>
          <w:p>
            <w:pPr>
              <w:pStyle w:val="14"/>
              <w:spacing w:line="320" w:lineRule="exact"/>
              <w:ind w:firstLine="454"/>
              <w:rPr>
                <w:color w:val="0D0D0D"/>
              </w:rPr>
            </w:pPr>
            <w:r>
              <w:rPr>
                <w:rFonts w:hint="eastAsia" w:ascii="宋体" w:hAnsi="宋体"/>
                <w:b/>
                <w:bCs/>
                <w:color w:val="0D0D0D"/>
                <w:sz w:val="21"/>
              </w:rPr>
              <w:t>声</w:t>
            </w:r>
            <w:r>
              <w:rPr>
                <w:rFonts w:ascii="宋体" w:hAnsi="宋体"/>
                <w:b/>
                <w:bCs/>
                <w:color w:val="0D0D0D"/>
                <w:sz w:val="21"/>
              </w:rPr>
              <w:t>明：</w:t>
            </w:r>
            <w:r>
              <w:rPr>
                <w:rFonts w:hint="eastAsia" w:ascii="宋体" w:hAnsi="宋体"/>
                <w:color w:val="0D0D0D"/>
                <w:sz w:val="21"/>
              </w:rPr>
              <w:t>本单位遵守《国家科学技术奖励条例》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D0D0D"/>
              </w:rPr>
            </w:pPr>
          </w:p>
          <w:p>
            <w:pPr>
              <w:ind w:firstLine="420" w:firstLineChars="200"/>
              <w:rPr>
                <w:color w:val="0D0D0D"/>
              </w:rPr>
            </w:pPr>
            <w:r>
              <w:rPr>
                <w:rFonts w:hint="eastAsia"/>
                <w:color w:val="0D0D0D"/>
              </w:rPr>
              <w:t xml:space="preserve">法人代表签名：                              推荐单位（盖章） </w:t>
            </w:r>
          </w:p>
          <w:p>
            <w:pPr>
              <w:ind w:firstLine="420" w:firstLineChars="200"/>
              <w:rPr>
                <w:color w:val="0D0D0D"/>
              </w:rPr>
            </w:pPr>
          </w:p>
          <w:p>
            <w:pPr>
              <w:spacing w:line="360" w:lineRule="auto"/>
              <w:rPr>
                <w:rFonts w:ascii="宋体" w:hAnsi="宋体"/>
                <w:color w:val="0D0D0D"/>
              </w:rPr>
            </w:pPr>
            <w:r>
              <w:rPr>
                <w:rFonts w:hint="eastAsia" w:ascii="宋体" w:hAnsi="宋体"/>
                <w:color w:val="0D0D0D"/>
              </w:rPr>
              <w:t xml:space="preserve">          年    月    日                                   年    月    日</w:t>
            </w:r>
          </w:p>
        </w:tc>
      </w:tr>
    </w:tbl>
    <w:p>
      <w:pPr>
        <w:pStyle w:val="5"/>
        <w:ind w:firstLine="0" w:firstLineChars="0"/>
        <w:rPr>
          <w:rFonts w:ascii="宋体" w:hAnsi="宋体"/>
          <w:b/>
          <w:color w:val="0D0D0D"/>
          <w:sz w:val="28"/>
        </w:rPr>
      </w:pPr>
      <w:r>
        <w:rPr>
          <w:rFonts w:ascii="宋体" w:hAnsi="宋体"/>
          <w:color w:val="0D0D0D"/>
          <w:sz w:val="28"/>
        </w:rPr>
        <w:br w:type="page"/>
      </w:r>
      <w:r>
        <w:rPr>
          <w:rFonts w:hint="eastAsia" w:ascii="宋体" w:hAnsi="宋体"/>
          <w:b/>
          <w:color w:val="0D0D0D"/>
          <w:sz w:val="28"/>
        </w:rPr>
        <w:t>三</w:t>
      </w:r>
      <w:r>
        <w:rPr>
          <w:rFonts w:ascii="宋体" w:hAnsi="宋体"/>
          <w:b/>
          <w:color w:val="0D0D0D"/>
          <w:sz w:val="28"/>
        </w:rPr>
        <w:t>、项目简介</w:t>
      </w:r>
    </w:p>
    <w:p>
      <w:pPr>
        <w:spacing w:line="360" w:lineRule="exact"/>
        <w:jc w:val="left"/>
        <w:rPr>
          <w:rFonts w:ascii="宋体" w:hAnsi="宋体"/>
          <w:sz w:val="24"/>
          <w:szCs w:val="24"/>
        </w:rPr>
      </w:pPr>
      <w:r>
        <w:rPr>
          <w:rFonts w:hint="eastAsia" w:ascii="宋体" w:hAnsi="宋体"/>
          <w:sz w:val="24"/>
          <w:szCs w:val="24"/>
        </w:rPr>
        <w:t xml:space="preserve">    股骨头坏死(ONFH)，是致残率极高的骨科常见病，我国现有病例约</w:t>
      </w:r>
      <w:r>
        <w:rPr>
          <w:rFonts w:hint="eastAsia" w:ascii="宋体" w:hAnsi="宋体"/>
          <w:sz w:val="24"/>
          <w:szCs w:val="24"/>
          <w:lang w:val="en-US" w:eastAsia="zh-CN"/>
        </w:rPr>
        <w:t>800-1000</w:t>
      </w:r>
      <w:r>
        <w:rPr>
          <w:rFonts w:hint="eastAsia" w:ascii="宋体" w:hAnsi="宋体"/>
          <w:sz w:val="24"/>
          <w:szCs w:val="24"/>
        </w:rPr>
        <w:t xml:space="preserve"> 万例，年新发病约10-20 万例，青壮年居多。目前股骨头坏死治疗存在诸多问题，一是很多医疗机构不管病变程度，对股骨头缺血严重，有大面积死骨的中晚期病例仍采用药物治疗，使病变迅速进展，患者失去保留股骨头手术机会而致残；二是对于有着较强自身修复能力年轻患者，甚至不满18 岁也采用人工关节置换术，患者不得不面对频繁的关节翻修术，手术创伤越来越大，最后因丢失骨量、丧失关节功能而致残。三是在骨坏死诊断尚不明确时，就采用不正确的治疗手段，导致难以挽回的后果。上述现象曾在我国普遍存在，给患者带来过度伤害，致残率提高，为患者家庭和社会带来沉重负担。</w:t>
      </w:r>
    </w:p>
    <w:p>
      <w:pPr>
        <w:spacing w:line="360" w:lineRule="exact"/>
        <w:ind w:firstLine="480"/>
        <w:jc w:val="left"/>
        <w:rPr>
          <w:rFonts w:ascii="宋体" w:hAnsi="宋体"/>
          <w:sz w:val="24"/>
          <w:szCs w:val="24"/>
        </w:rPr>
      </w:pPr>
      <w:r>
        <w:rPr>
          <w:rFonts w:hint="eastAsia" w:ascii="宋体" w:hAnsi="宋体"/>
          <w:sz w:val="24"/>
          <w:szCs w:val="24"/>
        </w:rPr>
        <w:t>项目组二十三年来，针对骨坏死的发病机制、影像学表现、分期、诊断与治疗等方面，从解剖、病理、生理及分子生物学等基础研究出发，进行了深入研究，并进行创新的生物材料研究与临床引用，取得了一系列创新的研究成果，建立了骨坏死诊疗标准，形成科学系统的治疗方案，并大量应用于临床，有效的解决骨坏死诊疗中亟待解决的关键问题。</w:t>
      </w:r>
    </w:p>
    <w:p>
      <w:pPr>
        <w:spacing w:line="360" w:lineRule="exact"/>
        <w:jc w:val="left"/>
        <w:rPr>
          <w:rFonts w:ascii="宋体" w:hAnsi="宋体"/>
          <w:b/>
          <w:bCs/>
          <w:sz w:val="24"/>
          <w:szCs w:val="24"/>
        </w:rPr>
      </w:pPr>
      <w:r>
        <w:rPr>
          <w:rFonts w:hint="eastAsia" w:ascii="宋体" w:hAnsi="宋体"/>
          <w:b/>
          <w:bCs/>
          <w:sz w:val="24"/>
          <w:szCs w:val="24"/>
        </w:rPr>
        <w:t>创新性的成果主要包括：</w:t>
      </w:r>
    </w:p>
    <w:p>
      <w:pPr>
        <w:numPr>
          <w:ilvl w:val="0"/>
          <w:numId w:val="2"/>
        </w:numPr>
        <w:spacing w:line="360" w:lineRule="exact"/>
        <w:ind w:firstLine="480" w:firstLineChars="200"/>
        <w:jc w:val="left"/>
        <w:rPr>
          <w:rFonts w:hint="eastAsia" w:ascii="宋体" w:hAnsi="宋体"/>
          <w:sz w:val="24"/>
          <w:szCs w:val="24"/>
        </w:rPr>
      </w:pPr>
      <w:r>
        <w:rPr>
          <w:rFonts w:hint="eastAsia" w:ascii="宋体" w:hAnsi="宋体"/>
          <w:sz w:val="24"/>
          <w:szCs w:val="24"/>
        </w:rPr>
        <w:t>首次在全国范围内开展了股骨头坏死的流行病学调查，揭示了股骨头坏死的发病特点；对皮质类固醇性骨坏死高危人群的筛选、检测及有效干预进行了探索性研究。确定了SARS患者皮质类固醇性骨坏死的发病时间、发病率及激素剂量、给药途径、用药持续时间的关系，探讨了早期诊断的方法。</w:t>
      </w:r>
    </w:p>
    <w:p>
      <w:pPr>
        <w:numPr>
          <w:ilvl w:val="0"/>
          <w:numId w:val="2"/>
        </w:numPr>
        <w:spacing w:line="360" w:lineRule="exact"/>
        <w:ind w:firstLine="480" w:firstLineChars="200"/>
        <w:jc w:val="left"/>
        <w:rPr>
          <w:rFonts w:hint="eastAsia" w:ascii="宋体" w:hAnsi="宋体"/>
          <w:sz w:val="24"/>
          <w:szCs w:val="24"/>
        </w:rPr>
      </w:pPr>
      <w:r>
        <w:rPr>
          <w:rFonts w:hint="eastAsia" w:ascii="宋体" w:hAnsi="宋体"/>
          <w:sz w:val="24"/>
          <w:szCs w:val="24"/>
        </w:rPr>
        <w:t>创建可靠的激素诱发股骨头</w:t>
      </w:r>
      <w:r>
        <w:rPr>
          <w:rFonts w:hint="eastAsia" w:ascii="宋体" w:hAnsi="宋体"/>
          <w:sz w:val="24"/>
          <w:szCs w:val="24"/>
          <w:lang w:eastAsia="zh-CN"/>
        </w:rPr>
        <w:t>坏死</w:t>
      </w:r>
      <w:r>
        <w:rPr>
          <w:rFonts w:hint="eastAsia" w:ascii="宋体" w:hAnsi="宋体"/>
          <w:sz w:val="24"/>
          <w:szCs w:val="24"/>
        </w:rPr>
        <w:t>动物模型，为股骨头坏死发病机理和临床防治股骨头塌陷提供研究平台。</w:t>
      </w:r>
      <w:r>
        <w:rPr>
          <w:rFonts w:hint="eastAsia" w:ascii="宋体" w:hAnsi="宋体"/>
          <w:b w:val="0"/>
          <w:bCs w:val="0"/>
          <w:sz w:val="24"/>
          <w:szCs w:val="24"/>
        </w:rPr>
        <w:t>应用生物影像技术进行评价，证实骨髓基质干细胞亢进的成脂过程促进了</w:t>
      </w:r>
      <w:r>
        <w:rPr>
          <w:rFonts w:hint="eastAsia" w:ascii="宋体" w:hAnsi="宋体"/>
          <w:sz w:val="24"/>
          <w:szCs w:val="24"/>
        </w:rPr>
        <w:t>骨坏死病灶的形成。</w:t>
      </w:r>
    </w:p>
    <w:p>
      <w:pPr>
        <w:numPr>
          <w:ilvl w:val="0"/>
          <w:numId w:val="2"/>
        </w:numPr>
        <w:spacing w:line="360" w:lineRule="exact"/>
        <w:ind w:firstLine="480" w:firstLineChars="200"/>
        <w:jc w:val="left"/>
        <w:rPr>
          <w:rFonts w:ascii="宋体" w:hAnsi="宋体"/>
          <w:color w:val="0000FF"/>
          <w:sz w:val="24"/>
          <w:szCs w:val="24"/>
        </w:rPr>
      </w:pPr>
      <w:r>
        <w:rPr>
          <w:rFonts w:hint="eastAsia" w:ascii="宋体" w:hAnsi="宋体"/>
          <w:sz w:val="24"/>
          <w:szCs w:val="24"/>
        </w:rPr>
        <w:t>根据股骨头坏死病变的病理过程和血运状况，首次提出早期骨坏死静脉淤滞期进行传统髓芯减压有效的理论。创建并应用了多种基于骨髓基质干细胞治疗股骨头坏死的方法，提高早期骨坏死的治疗效果。</w:t>
      </w:r>
    </w:p>
    <w:p>
      <w:pPr>
        <w:numPr>
          <w:ilvl w:val="0"/>
          <w:numId w:val="2"/>
        </w:numPr>
        <w:spacing w:line="360" w:lineRule="exact"/>
        <w:ind w:firstLine="480" w:firstLineChars="200"/>
        <w:jc w:val="left"/>
        <w:rPr>
          <w:rFonts w:hint="eastAsia" w:ascii="宋体" w:hAnsi="宋体"/>
          <w:sz w:val="24"/>
          <w:szCs w:val="24"/>
        </w:rPr>
      </w:pPr>
      <w:r>
        <w:rPr>
          <w:rFonts w:hint="eastAsia" w:ascii="宋体" w:hAnsi="宋体"/>
          <w:sz w:val="24"/>
          <w:szCs w:val="24"/>
        </w:rPr>
        <w:t>不断探索股骨头坏死</w:t>
      </w:r>
      <w:r>
        <w:rPr>
          <w:rFonts w:hint="eastAsia" w:ascii="宋体" w:hAnsi="宋体"/>
          <w:sz w:val="24"/>
          <w:szCs w:val="24"/>
          <w:lang w:eastAsia="zh-CN"/>
        </w:rPr>
        <w:t>个体化与精准化保留自身关节的治疗方法</w:t>
      </w:r>
      <w:r>
        <w:rPr>
          <w:rFonts w:hint="eastAsia" w:ascii="宋体" w:hAnsi="宋体"/>
          <w:sz w:val="24"/>
          <w:szCs w:val="24"/>
        </w:rPr>
        <w:t>，建立了中国的股骨头坏死分期分型和诊治指南；针对青壮年骨坏死中、晚期股骨头破坏严重的难题，原创性提出显微修复与再造理论，建立多种带血运骨瓣转移重建股骨头的系列治疗方案，使青壮年中晚期骨坏死得到有效治疗。</w:t>
      </w:r>
    </w:p>
    <w:p>
      <w:pPr>
        <w:numPr>
          <w:ilvl w:val="0"/>
          <w:numId w:val="2"/>
        </w:numPr>
        <w:spacing w:line="360" w:lineRule="exact"/>
        <w:ind w:firstLine="480" w:firstLineChars="200"/>
        <w:jc w:val="left"/>
        <w:rPr>
          <w:rFonts w:hint="eastAsia" w:ascii="宋体" w:hAnsi="宋体"/>
          <w:sz w:val="24"/>
          <w:szCs w:val="24"/>
        </w:rPr>
      </w:pPr>
      <w:r>
        <w:rPr>
          <w:rFonts w:hint="eastAsia" w:ascii="宋体" w:hAnsi="宋体"/>
          <w:sz w:val="24"/>
          <w:szCs w:val="24"/>
        </w:rPr>
        <w:t>临床前研究证实了可降解纯镁金属的</w:t>
      </w:r>
      <w:r>
        <w:rPr>
          <w:rFonts w:hint="eastAsia" w:ascii="宋体" w:hAnsi="宋体"/>
          <w:sz w:val="24"/>
          <w:szCs w:val="24"/>
          <w:lang w:eastAsia="zh-CN"/>
        </w:rPr>
        <w:t>生物</w:t>
      </w:r>
      <w:r>
        <w:rPr>
          <w:rFonts w:hint="eastAsia" w:ascii="宋体" w:hAnsi="宋体"/>
          <w:sz w:val="24"/>
          <w:szCs w:val="24"/>
        </w:rPr>
        <w:t>安全性与促进成骨特性，在此基础上，</w:t>
      </w:r>
      <w:r>
        <w:rPr>
          <w:rFonts w:hint="eastAsia" w:ascii="宋体" w:hAnsi="宋体"/>
          <w:sz w:val="24"/>
          <w:szCs w:val="24"/>
          <w:lang w:eastAsia="zh-CN"/>
        </w:rPr>
        <w:t>临床</w:t>
      </w:r>
      <w:r>
        <w:rPr>
          <w:rFonts w:hint="eastAsia" w:ascii="宋体" w:hAnsi="宋体"/>
          <w:sz w:val="24"/>
          <w:szCs w:val="24"/>
        </w:rPr>
        <w:t>首次将纯镁螺钉应用于股骨头坏死的保头治疗，</w:t>
      </w:r>
      <w:r>
        <w:rPr>
          <w:rFonts w:hint="eastAsia" w:ascii="宋体" w:hAnsi="宋体"/>
          <w:sz w:val="24"/>
          <w:szCs w:val="24"/>
          <w:lang w:eastAsia="zh-CN"/>
        </w:rPr>
        <w:t>实现了可降解</w:t>
      </w:r>
      <w:r>
        <w:rPr>
          <w:rFonts w:hint="eastAsia" w:ascii="宋体" w:hAnsi="宋体"/>
          <w:sz w:val="24"/>
          <w:szCs w:val="24"/>
        </w:rPr>
        <w:t>纯镁</w:t>
      </w:r>
      <w:r>
        <w:rPr>
          <w:rFonts w:hint="eastAsia" w:ascii="宋体" w:hAnsi="宋体"/>
          <w:sz w:val="24"/>
          <w:szCs w:val="24"/>
          <w:lang w:eastAsia="zh-CN"/>
        </w:rPr>
        <w:t>生物材料</w:t>
      </w:r>
      <w:r>
        <w:rPr>
          <w:rFonts w:hint="eastAsia" w:ascii="宋体" w:hAnsi="宋体"/>
          <w:sz w:val="24"/>
          <w:szCs w:val="24"/>
        </w:rPr>
        <w:t>的</w:t>
      </w:r>
      <w:r>
        <w:rPr>
          <w:rFonts w:hint="eastAsia" w:ascii="宋体" w:hAnsi="宋体"/>
          <w:sz w:val="24"/>
          <w:szCs w:val="24"/>
          <w:lang w:eastAsia="zh-CN"/>
        </w:rPr>
        <w:t>骨科</w:t>
      </w:r>
      <w:r>
        <w:rPr>
          <w:rFonts w:hint="eastAsia" w:ascii="宋体" w:hAnsi="宋体"/>
          <w:sz w:val="24"/>
          <w:szCs w:val="24"/>
        </w:rPr>
        <w:t>临床应用。</w:t>
      </w:r>
    </w:p>
    <w:p>
      <w:pPr>
        <w:spacing w:line="360" w:lineRule="exact"/>
        <w:jc w:val="left"/>
        <w:rPr>
          <w:rFonts w:hint="eastAsia" w:ascii="宋体" w:hAnsi="宋体"/>
          <w:sz w:val="24"/>
          <w:szCs w:val="24"/>
        </w:rPr>
      </w:pPr>
      <w:r>
        <w:rPr>
          <w:rFonts w:hint="eastAsia" w:ascii="宋体" w:hAnsi="宋体"/>
          <w:sz w:val="24"/>
          <w:szCs w:val="24"/>
        </w:rPr>
        <w:t xml:space="preserve">    通过二十多年的基础和临床研究，主持制定了《</w:t>
      </w:r>
      <w:r>
        <w:rPr>
          <w:rFonts w:hint="eastAsia" w:ascii="宋体" w:hAnsi="宋体"/>
          <w:sz w:val="24"/>
          <w:szCs w:val="24"/>
        </w:rPr>
        <w:fldChar w:fldCharType="begin"/>
      </w:r>
      <w:r>
        <w:rPr>
          <w:rFonts w:hint="eastAsia" w:ascii="宋体" w:hAnsi="宋体"/>
          <w:sz w:val="24"/>
          <w:szCs w:val="24"/>
        </w:rPr>
        <w:instrText xml:space="preserve"> HYPERLINK "http://d.wanfangdata.com.cn/Periodical/zhgkzz98200702018" \t "http://s.wanfangdata.com.cn/_blank" </w:instrText>
      </w:r>
      <w:r>
        <w:rPr>
          <w:rFonts w:hint="eastAsia" w:ascii="宋体" w:hAnsi="宋体"/>
          <w:sz w:val="24"/>
          <w:szCs w:val="24"/>
        </w:rPr>
        <w:fldChar w:fldCharType="separate"/>
      </w:r>
      <w:r>
        <w:rPr>
          <w:rFonts w:hint="eastAsia" w:ascii="宋体" w:hAnsi="宋体"/>
          <w:sz w:val="24"/>
          <w:szCs w:val="24"/>
        </w:rPr>
        <w:t>股骨头坏死诊断与治疗的专家建议</w:t>
      </w:r>
      <w:r>
        <w:rPr>
          <w:rFonts w:hint="eastAsia" w:ascii="宋体" w:hAnsi="宋体"/>
          <w:sz w:val="24"/>
          <w:szCs w:val="24"/>
        </w:rPr>
        <w:fldChar w:fldCharType="end"/>
      </w:r>
      <w:r>
        <w:rPr>
          <w:rFonts w:hint="eastAsia" w:ascii="宋体" w:hAnsi="宋体"/>
          <w:sz w:val="24"/>
          <w:szCs w:val="24"/>
        </w:rPr>
        <w:t>》，《成人股骨头坏死诊疗标准专家共识》及《成人股骨头坏死临床诊疗指南》，研究成果经过临床推广应用,累计对逾万例骨坏死进行了保留股骨头治疗，取得了满意的疗效，临床成功率提升显著。</w:t>
      </w:r>
    </w:p>
    <w:p>
      <w:pPr>
        <w:spacing w:line="360" w:lineRule="exact"/>
        <w:jc w:val="left"/>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项目组在基础及临床研究中取得突破性研究成果，发表学术论文328 篇，其中SCI 收录</w:t>
      </w:r>
      <w:r>
        <w:rPr>
          <w:rFonts w:hint="eastAsia" w:ascii="宋体" w:hAnsi="宋体"/>
          <w:sz w:val="24"/>
          <w:szCs w:val="24"/>
          <w:highlight w:val="none"/>
        </w:rPr>
        <w:t xml:space="preserve">120 </w:t>
      </w:r>
      <w:r>
        <w:rPr>
          <w:rFonts w:hint="eastAsia" w:ascii="宋体" w:hAnsi="宋体"/>
          <w:sz w:val="24"/>
          <w:szCs w:val="24"/>
        </w:rPr>
        <w:t>篇，累计影响因子</w:t>
      </w:r>
      <w:r>
        <w:rPr>
          <w:rFonts w:hint="eastAsia" w:ascii="宋体" w:hAnsi="宋体"/>
          <w:sz w:val="24"/>
          <w:szCs w:val="24"/>
          <w:highlight w:val="none"/>
        </w:rPr>
        <w:t>304.725</w:t>
      </w:r>
      <w:r>
        <w:rPr>
          <w:rFonts w:hint="eastAsia" w:ascii="宋体" w:hAnsi="宋体"/>
          <w:sz w:val="24"/>
          <w:szCs w:val="24"/>
        </w:rPr>
        <w:t>分，出版</w:t>
      </w:r>
      <w:r>
        <w:rPr>
          <w:rFonts w:hint="eastAsia" w:ascii="宋体" w:hAnsi="宋体"/>
          <w:sz w:val="24"/>
          <w:szCs w:val="24"/>
          <w:lang w:eastAsia="zh-CN"/>
        </w:rPr>
        <w:t>骨坏死</w:t>
      </w:r>
      <w:r>
        <w:rPr>
          <w:rFonts w:hint="eastAsia" w:ascii="宋体" w:hAnsi="宋体"/>
          <w:sz w:val="24"/>
          <w:szCs w:val="24"/>
        </w:rPr>
        <w:t>专著</w:t>
      </w:r>
      <w:r>
        <w:rPr>
          <w:rFonts w:hint="eastAsia" w:ascii="宋体" w:hAnsi="宋体"/>
          <w:sz w:val="24"/>
          <w:szCs w:val="24"/>
          <w:lang w:val="en-US" w:eastAsia="zh-CN"/>
        </w:rPr>
        <w:t>8</w:t>
      </w:r>
      <w:r>
        <w:rPr>
          <w:rFonts w:hint="eastAsia" w:ascii="宋体" w:hAnsi="宋体"/>
          <w:sz w:val="24"/>
          <w:szCs w:val="24"/>
        </w:rPr>
        <w:t>部。成果已在全国通过会议讲座及学习班等形式推广应用，培养国内外学术骨干五千余人，在全国各大医院推广应用，解决了多年来股骨头坏死诊断治疗不规范的问题，使患者得到正确治疗，社会效益显著。</w:t>
      </w:r>
    </w:p>
    <w:p>
      <w:pPr>
        <w:pStyle w:val="5"/>
        <w:ind w:firstLine="0" w:firstLineChars="0"/>
        <w:rPr>
          <w:rFonts w:ascii="宋体" w:hAnsi="宋体"/>
          <w:b/>
          <w:color w:val="0D0D0D"/>
          <w:sz w:val="28"/>
        </w:rPr>
      </w:pPr>
      <w:r>
        <w:rPr>
          <w:rFonts w:ascii="宋体" w:hAnsi="宋体"/>
          <w:color w:val="0D0D0D"/>
          <w:sz w:val="28"/>
        </w:rPr>
        <w:br w:type="page"/>
      </w:r>
      <w:r>
        <w:rPr>
          <w:rFonts w:hint="eastAsia" w:ascii="宋体" w:hAnsi="宋体"/>
          <w:color w:val="0D0D0D"/>
          <w:sz w:val="28"/>
        </w:rPr>
        <w:t>四</w:t>
      </w:r>
      <w:r>
        <w:rPr>
          <w:rFonts w:ascii="宋体" w:hAnsi="宋体"/>
          <w:b/>
          <w:color w:val="0D0D0D"/>
          <w:sz w:val="28"/>
        </w:rPr>
        <w:t>、</w:t>
      </w:r>
      <w:r>
        <w:rPr>
          <w:rFonts w:hint="eastAsia" w:ascii="宋体" w:hAnsi="宋体"/>
          <w:b/>
          <w:color w:val="0D0D0D"/>
          <w:sz w:val="28"/>
        </w:rPr>
        <w:t>客观评价</w:t>
      </w:r>
    </w:p>
    <w:p>
      <w:pPr>
        <w:pStyle w:val="5"/>
        <w:ind w:firstLine="420"/>
        <w:jc w:val="left"/>
        <w:rPr>
          <w:rFonts w:ascii="宋体" w:hAnsi="宋体"/>
          <w:color w:val="0D0D0D"/>
          <w:sz w:val="21"/>
        </w:rPr>
      </w:pPr>
      <w:bookmarkStart w:id="1" w:name="OLE_LINK4"/>
      <w:r>
        <w:rPr>
          <w:rFonts w:ascii="宋体" w:hAnsi="宋体"/>
          <w:color w:val="0D0D0D"/>
          <w:sz w:val="21"/>
        </w:rPr>
        <w:t>（</w:t>
      </w:r>
      <w:r>
        <w:rPr>
          <w:rFonts w:hint="eastAsia" w:ascii="宋体" w:hAnsi="宋体"/>
          <w:color w:val="0D0D0D"/>
          <w:sz w:val="21"/>
        </w:rPr>
        <w:t>限2页。围绕科技创新点的创新性、先进性、应用效果和对行业科技进步的作用，做出客观、真实、准确评价。填写的评价意见要有客观依据，主要包括与国内外相关技术的比较，</w:t>
      </w:r>
      <w:r>
        <w:rPr>
          <w:rFonts w:ascii="宋体" w:hAnsi="宋体"/>
          <w:color w:val="0D0D0D"/>
          <w:sz w:val="21"/>
        </w:rPr>
        <w:t>国家相关部门正式作出的技术检测报告、验收意见、鉴定结论</w:t>
      </w:r>
      <w:r>
        <w:rPr>
          <w:rFonts w:hint="eastAsia" w:ascii="宋体" w:hAnsi="宋体"/>
          <w:color w:val="0D0D0D"/>
          <w:sz w:val="21"/>
        </w:rPr>
        <w:t>，国内外重要</w:t>
      </w:r>
      <w:r>
        <w:rPr>
          <w:rFonts w:ascii="宋体" w:hAnsi="宋体"/>
          <w:color w:val="0D0D0D"/>
          <w:sz w:val="21"/>
        </w:rPr>
        <w:t>科技奖励</w:t>
      </w:r>
      <w:r>
        <w:rPr>
          <w:rFonts w:hint="eastAsia" w:ascii="宋体" w:hAnsi="宋体"/>
          <w:color w:val="0D0D0D"/>
          <w:sz w:val="21"/>
        </w:rPr>
        <w:t>，</w:t>
      </w:r>
      <w:r>
        <w:rPr>
          <w:rFonts w:ascii="宋体" w:hAnsi="宋体"/>
          <w:color w:val="0D0D0D"/>
          <w:sz w:val="21"/>
        </w:rPr>
        <w:t>国内外同行在重要学术刊物</w:t>
      </w:r>
      <w:r>
        <w:rPr>
          <w:rFonts w:hint="eastAsia" w:ascii="宋体" w:hAnsi="宋体"/>
          <w:color w:val="0D0D0D"/>
          <w:sz w:val="21"/>
        </w:rPr>
        <w:t>、</w:t>
      </w:r>
      <w:r>
        <w:rPr>
          <w:rFonts w:ascii="宋体" w:hAnsi="宋体"/>
          <w:color w:val="0D0D0D"/>
          <w:sz w:val="21"/>
        </w:rPr>
        <w:t>学术专著</w:t>
      </w:r>
      <w:r>
        <w:rPr>
          <w:rFonts w:hint="eastAsia" w:ascii="宋体" w:hAnsi="宋体"/>
          <w:color w:val="0D0D0D"/>
          <w:sz w:val="21"/>
        </w:rPr>
        <w:t>和</w:t>
      </w:r>
      <w:r>
        <w:rPr>
          <w:rFonts w:ascii="宋体" w:hAnsi="宋体"/>
          <w:color w:val="0D0D0D"/>
          <w:sz w:val="21"/>
        </w:rPr>
        <w:t>重要国际学术会议公开发表的学术性评价意见</w:t>
      </w:r>
      <w:r>
        <w:rPr>
          <w:rFonts w:hint="eastAsia" w:ascii="宋体" w:hAnsi="宋体"/>
          <w:color w:val="0D0D0D"/>
          <w:sz w:val="21"/>
        </w:rPr>
        <w:t>等，</w:t>
      </w:r>
      <w:r>
        <w:rPr>
          <w:rFonts w:ascii="宋体" w:hAnsi="宋体"/>
          <w:color w:val="0D0D0D"/>
          <w:sz w:val="21"/>
        </w:rPr>
        <w:t>可在附件中提供证明材料。非公开</w:t>
      </w:r>
      <w:r>
        <w:rPr>
          <w:rFonts w:hint="eastAsia" w:ascii="宋体" w:hAnsi="宋体"/>
          <w:color w:val="0D0D0D"/>
          <w:sz w:val="21"/>
        </w:rPr>
        <w:t>资料</w:t>
      </w:r>
      <w:r>
        <w:rPr>
          <w:rFonts w:ascii="宋体" w:hAnsi="宋体"/>
          <w:color w:val="0D0D0D"/>
          <w:sz w:val="21"/>
        </w:rPr>
        <w:t>（如私人信函等）不能作为评价依据</w:t>
      </w:r>
      <w:r>
        <w:rPr>
          <w:rFonts w:hint="eastAsia" w:ascii="宋体" w:hAnsi="宋体"/>
          <w:color w:val="0D0D0D"/>
          <w:sz w:val="21"/>
        </w:rPr>
        <w:t>。）</w:t>
      </w:r>
    </w:p>
    <w:bookmarkEnd w:id="1"/>
    <w:p>
      <w:pPr>
        <w:pStyle w:val="5"/>
        <w:ind w:firstLine="0" w:firstLineChars="0"/>
        <w:rPr>
          <w:rFonts w:ascii="宋体" w:hAnsi="宋体"/>
          <w:b/>
          <w:bCs/>
          <w:color w:val="0D0D0D"/>
          <w:sz w:val="21"/>
        </w:rPr>
      </w:pPr>
      <w:r>
        <w:rPr>
          <w:rFonts w:hint="eastAsia" w:ascii="宋体" w:hAnsi="宋体"/>
          <w:b/>
          <w:bCs/>
          <w:color w:val="0D0D0D"/>
          <w:sz w:val="21"/>
        </w:rPr>
        <w:t>1.项目验收结论</w:t>
      </w:r>
    </w:p>
    <w:p>
      <w:pPr>
        <w:pStyle w:val="5"/>
        <w:ind w:firstLine="0" w:firstLineChars="0"/>
        <w:rPr>
          <w:rFonts w:ascii="宋体" w:hAnsi="宋体"/>
          <w:color w:val="0D0D0D"/>
          <w:sz w:val="21"/>
        </w:rPr>
      </w:pPr>
      <w:r>
        <w:rPr>
          <w:rFonts w:hint="eastAsia" w:ascii="宋体" w:hAnsi="宋体"/>
          <w:color w:val="0D0D0D"/>
          <w:sz w:val="21"/>
        </w:rPr>
        <w:t>2010年辽宁省科技厅组织以钟世镇院士为主任的专家组对本项目进行了验收，鉴定结论为 “该研究历时十余年，在系列基础研究的基础上，开展临床研究。此项目研究工作量很大。研究成果已总结在国家级核心期刊发表论著百余篇，已经编入主编的3部相关学术专著已由人民卫生出版社出版发行，研究成果在举办7次国家级学习班及研讨会中作重点推广。本项目设计新颖，创新点显著，技术方法科学，资料丰富可靠，经临床大宗病例应用，证明本项目首创的治疗股骨头缺血性坏死的方案和新观点有重大的学术理论意义和实际应用价值，已取得显著的社会经济效益。评审专家总的评价：该项研究成果已达到同类研究的国家领先水平。”</w:t>
      </w:r>
    </w:p>
    <w:p>
      <w:pPr>
        <w:pStyle w:val="5"/>
        <w:ind w:firstLine="0" w:firstLineChars="0"/>
        <w:rPr>
          <w:rFonts w:ascii="宋体" w:hAnsi="宋体"/>
          <w:b/>
          <w:bCs/>
          <w:color w:val="0D0D0D"/>
          <w:sz w:val="21"/>
        </w:rPr>
      </w:pPr>
      <w:r>
        <w:rPr>
          <w:rFonts w:hint="eastAsia" w:ascii="宋体" w:hAnsi="宋体"/>
          <w:b/>
          <w:bCs/>
          <w:color w:val="0D0D0D"/>
          <w:sz w:val="21"/>
        </w:rPr>
        <w:t>2.项目同行专家评价</w:t>
      </w:r>
    </w:p>
    <w:p>
      <w:pPr>
        <w:pStyle w:val="5"/>
        <w:ind w:firstLine="0" w:firstLineChars="0"/>
        <w:rPr>
          <w:rFonts w:ascii="宋体" w:hAnsi="宋体"/>
          <w:color w:val="0D0D0D"/>
          <w:sz w:val="21"/>
        </w:rPr>
      </w:pPr>
      <w:r>
        <w:rPr>
          <w:rFonts w:hint="eastAsia" w:ascii="宋体" w:hAnsi="宋体"/>
          <w:color w:val="0D0D0D"/>
          <w:sz w:val="21"/>
        </w:rPr>
        <w:t>该系列技术发表的相关论文、著作受到了国内外同行专家的高度关注，由朱盛修主编的骨科权威专著《现代骨科手术学》将本项目开展的带血运大转子骨瓣转移的保头治疗术式命名为“赵德伟法”。</w:t>
      </w:r>
    </w:p>
    <w:p>
      <w:pPr>
        <w:pStyle w:val="5"/>
        <w:ind w:firstLine="0" w:firstLineChars="0"/>
        <w:rPr>
          <w:rFonts w:ascii="宋体" w:hAnsi="宋体"/>
          <w:color w:val="0D0D0D"/>
          <w:sz w:val="21"/>
        </w:rPr>
      </w:pPr>
      <w:r>
        <w:rPr>
          <w:rFonts w:hint="eastAsia" w:ascii="宋体" w:hAnsi="宋体"/>
          <w:color w:val="0D0D0D"/>
          <w:sz w:val="21"/>
        </w:rPr>
        <w:t>Grahame Elder教授在Nephrology发表的论文中评价，尽管带血运腓骨移植应用较广泛，但项目组采用的带血管蒂骨瓣移植治疗股骨头坏死的方法效果可能更具吸引力。</w:t>
      </w:r>
    </w:p>
    <w:p>
      <w:pPr>
        <w:pStyle w:val="5"/>
        <w:ind w:firstLine="0" w:firstLineChars="0"/>
        <w:rPr>
          <w:rFonts w:ascii="宋体" w:hAnsi="宋体"/>
          <w:b/>
          <w:bCs/>
          <w:color w:val="0D0D0D"/>
          <w:sz w:val="21"/>
        </w:rPr>
      </w:pPr>
      <w:r>
        <w:rPr>
          <w:rFonts w:hint="eastAsia" w:ascii="宋体" w:hAnsi="宋体"/>
          <w:b/>
          <w:bCs/>
          <w:color w:val="0D0D0D"/>
          <w:sz w:val="21"/>
        </w:rPr>
        <w:t>3.项目技术引用情况</w:t>
      </w:r>
    </w:p>
    <w:p>
      <w:pPr>
        <w:pStyle w:val="5"/>
        <w:ind w:firstLine="0" w:firstLineChars="0"/>
        <w:rPr>
          <w:rFonts w:ascii="宋体" w:hAnsi="宋体"/>
          <w:color w:val="0D0D0D"/>
          <w:sz w:val="21"/>
        </w:rPr>
      </w:pPr>
      <w:r>
        <w:rPr>
          <w:rFonts w:hint="eastAsia" w:ascii="宋体" w:hAnsi="宋体"/>
          <w:color w:val="0D0D0D"/>
          <w:sz w:val="21"/>
        </w:rPr>
        <w:t>项目组的解剖学研究及手术技术被戴尅戎院士主编的《现代关节外科学》、陶天遵教授主编的《新编实用骨科学》、胥少汀教授、葛宝丰教授、徐印坎教授主编的《实用骨科学》、钟世镇、郭世绂教授编著的《骨科临床解剖学》、朱家恺主编的《显微外科学》、范启申主编的《骨科显微与微创手术学》、朱盛修主编的《现代显微外科学》、杨述华教授主编的《骨坏死学》、胥少汀教授主编的《骨坏死诊治聚焦》等专著详细介绍、向读者推荐，成为骨坏死保留股骨头治疗的重要手术方式。中华医学会骨科分会基于项目团队多年来骨坏死的基础与临床研究成果，组织国内骨坏死研究领域的专家，形成并逐步完善了股骨头坏死规范化治疗方案，制定了股骨头坏死诊疗标准指南，已发表于中华骨科杂志等国内著名杂志，进而指导骨坏死的临床治疗。</w:t>
      </w:r>
    </w:p>
    <w:p>
      <w:pPr>
        <w:pStyle w:val="5"/>
        <w:ind w:firstLine="0" w:firstLineChars="0"/>
        <w:rPr>
          <w:rFonts w:ascii="宋体" w:hAnsi="宋体"/>
          <w:b/>
          <w:bCs/>
          <w:color w:val="0D0D0D"/>
          <w:sz w:val="21"/>
        </w:rPr>
      </w:pPr>
      <w:r>
        <w:rPr>
          <w:rFonts w:hint="eastAsia" w:ascii="宋体" w:hAnsi="宋体"/>
          <w:b/>
          <w:bCs/>
          <w:color w:val="0D0D0D"/>
          <w:sz w:val="21"/>
        </w:rPr>
        <w:t>4.项目技术应用单位评价</w:t>
      </w:r>
    </w:p>
    <w:p>
      <w:pPr>
        <w:pStyle w:val="5"/>
        <w:ind w:firstLine="0" w:firstLineChars="0"/>
        <w:rPr>
          <w:rFonts w:ascii="宋体" w:hAnsi="宋体"/>
          <w:color w:val="0D0D0D"/>
          <w:sz w:val="21"/>
        </w:rPr>
      </w:pPr>
      <w:r>
        <w:rPr>
          <w:rFonts w:hint="eastAsia" w:ascii="宋体" w:hAnsi="宋体"/>
          <w:color w:val="0D0D0D"/>
          <w:sz w:val="21"/>
        </w:rPr>
        <w:t>青壮年骨坏死的治疗一直是骨科难题，传统的治疗方法存在很多问题，疗效报道不一，各家医院难以系统化的开展。本项目经国内</w:t>
      </w:r>
      <w:r>
        <w:rPr>
          <w:rFonts w:hint="eastAsia" w:ascii="宋体" w:hAnsi="宋体"/>
          <w:color w:val="0D0D0D"/>
          <w:sz w:val="21"/>
          <w:lang w:eastAsia="zh-CN"/>
        </w:rPr>
        <w:t>几十家</w:t>
      </w:r>
      <w:r>
        <w:rPr>
          <w:rFonts w:hint="eastAsia" w:ascii="宋体" w:hAnsi="宋体"/>
          <w:color w:val="0D0D0D"/>
          <w:sz w:val="21"/>
        </w:rPr>
        <w:t>医院临床应用逾万例后，成功率</w:t>
      </w:r>
      <w:r>
        <w:rPr>
          <w:rFonts w:hint="eastAsia" w:ascii="宋体" w:hAnsi="宋体"/>
          <w:color w:val="0D0D0D"/>
          <w:sz w:val="21"/>
          <w:lang w:eastAsia="zh-CN"/>
        </w:rPr>
        <w:t>较传统方法提高显著</w:t>
      </w:r>
      <w:r>
        <w:rPr>
          <w:rFonts w:hint="eastAsia" w:ascii="宋体" w:hAnsi="宋体"/>
          <w:color w:val="0D0D0D"/>
          <w:sz w:val="21"/>
        </w:rPr>
        <w:t>。项目在各外单位应用后，认为该系列技术有效解决了青壮年患者早中晚期骨坏死治疗的关键问题，改善了血供，提供了支撑，恢复了股骨头的外形轮廓，具有手术操作相对简单，创伤小、无供区损害、术后恢复时间短、手术并发症少等优点；该手术方法从骨坏死的病理变化入手，根据病变进展的时期不同，采用不同的治疗方式，进而提高了保头术式的成功率。</w:t>
      </w:r>
    </w:p>
    <w:p>
      <w:pPr>
        <w:pStyle w:val="5"/>
        <w:ind w:firstLine="0" w:firstLineChars="0"/>
        <w:rPr>
          <w:rFonts w:ascii="宋体" w:hAnsi="宋体"/>
          <w:b/>
          <w:bCs/>
          <w:color w:val="0D0D0D"/>
          <w:sz w:val="21"/>
        </w:rPr>
      </w:pPr>
      <w:r>
        <w:rPr>
          <w:rFonts w:hint="eastAsia" w:ascii="宋体" w:hAnsi="宋体"/>
          <w:b/>
          <w:bCs/>
          <w:color w:val="0D0D0D"/>
          <w:sz w:val="21"/>
        </w:rPr>
        <w:t>5.项目成果获奖情况</w:t>
      </w:r>
    </w:p>
    <w:p>
      <w:pPr>
        <w:pStyle w:val="5"/>
        <w:ind w:firstLine="0" w:firstLineChars="0"/>
        <w:rPr>
          <w:rFonts w:ascii="宋体" w:hAnsi="宋体"/>
          <w:color w:val="0D0D0D"/>
          <w:sz w:val="21"/>
        </w:rPr>
      </w:pPr>
      <w:r>
        <w:rPr>
          <w:rFonts w:hint="eastAsia" w:ascii="宋体" w:hAnsi="宋体"/>
          <w:color w:val="0D0D0D"/>
          <w:sz w:val="21"/>
        </w:rPr>
        <w:t>项目组完成的创新成果先后获得2005、2013、2016年度辽宁省科技进步一等奖，2010年度教育部科技进步一等奖，1999、</w:t>
      </w:r>
      <w:r>
        <w:rPr>
          <w:rFonts w:hint="eastAsia" w:ascii="宋体" w:hAnsi="宋体"/>
          <w:color w:val="0D0D0D"/>
          <w:sz w:val="21"/>
          <w:highlight w:val="none"/>
        </w:rPr>
        <w:t>2011</w:t>
      </w:r>
      <w:r>
        <w:rPr>
          <w:rFonts w:hint="eastAsia" w:ascii="宋体" w:hAnsi="宋体"/>
          <w:color w:val="0D0D0D"/>
          <w:sz w:val="21"/>
        </w:rPr>
        <w:t>、2016年度大连市科技进步一等奖。</w:t>
      </w:r>
    </w:p>
    <w:p>
      <w:pPr>
        <w:pStyle w:val="5"/>
        <w:ind w:firstLine="420"/>
        <w:jc w:val="center"/>
        <w:rPr>
          <w:rFonts w:ascii="宋体" w:hAnsi="宋体"/>
          <w:b/>
          <w:color w:val="0D0D0D"/>
        </w:rPr>
      </w:pPr>
      <w:r>
        <w:rPr>
          <w:rFonts w:hint="eastAsia" w:ascii="宋体" w:hAnsi="宋体"/>
          <w:color w:val="0D0D0D"/>
          <w:sz w:val="21"/>
        </w:rPr>
        <w:br w:type="page"/>
      </w:r>
      <w:r>
        <w:rPr>
          <w:rFonts w:hint="eastAsia" w:ascii="宋体" w:hAnsi="宋体"/>
          <w:b/>
          <w:color w:val="0D0D0D"/>
          <w:sz w:val="28"/>
        </w:rPr>
        <w:t>六</w:t>
      </w:r>
      <w:r>
        <w:rPr>
          <w:rFonts w:ascii="宋体" w:hAnsi="宋体"/>
          <w:b/>
          <w:color w:val="0D0D0D"/>
          <w:sz w:val="28"/>
        </w:rPr>
        <w:t>、推广应用情况</w:t>
      </w:r>
    </w:p>
    <w:p>
      <w:pPr>
        <w:pStyle w:val="5"/>
        <w:spacing w:line="390" w:lineRule="exact"/>
        <w:ind w:firstLine="0" w:firstLineChars="0"/>
        <w:outlineLvl w:val="2"/>
        <w:rPr>
          <w:rFonts w:ascii="宋体" w:hAnsi="宋体"/>
          <w:b/>
          <w:color w:val="0D0D0D"/>
        </w:rPr>
      </w:pPr>
      <w:r>
        <w:rPr>
          <w:rFonts w:hint="eastAsia" w:ascii="宋体" w:hAnsi="宋体"/>
          <w:b/>
          <w:color w:val="0D0D0D"/>
        </w:rPr>
        <w:t>1．推广应用情况</w:t>
      </w:r>
    </w:p>
    <w:p>
      <w:pPr>
        <w:spacing w:line="360" w:lineRule="auto"/>
        <w:jc w:val="both"/>
        <w:rPr>
          <w:rFonts w:ascii="宋体" w:hAnsi="宋体" w:eastAsia="宋体" w:cs="宋体"/>
          <w:sz w:val="24"/>
          <w:szCs w:val="24"/>
        </w:rPr>
      </w:pPr>
      <w:r>
        <w:rPr>
          <w:rFonts w:hint="eastAsia" w:ascii="宋体" w:hAnsi="宋体" w:eastAsia="宋体" w:cs="宋体"/>
          <w:sz w:val="24"/>
          <w:szCs w:val="24"/>
        </w:rPr>
        <w:t xml:space="preserve">   “股骨头坏死的基础、临床及材料的转化应用”是项目组多年来经验积累及创新技术的总结，主要以论文、著作、学术会议、手术指导、扶贫支边及学习班等形式来进行推广应用。该系列研究方法及临床治疗策略经</w:t>
      </w:r>
      <w:r>
        <w:rPr>
          <w:rFonts w:hint="eastAsia" w:ascii="宋体" w:hAnsi="宋体" w:eastAsia="宋体" w:cs="宋体"/>
          <w:sz w:val="24"/>
          <w:szCs w:val="24"/>
          <w:lang w:eastAsia="zh-CN"/>
        </w:rPr>
        <w:t>武汉大学中南医院</w:t>
      </w:r>
      <w:r>
        <w:rPr>
          <w:rFonts w:hint="eastAsia" w:ascii="宋体" w:hAnsi="宋体" w:eastAsia="宋体" w:cs="宋体"/>
          <w:sz w:val="24"/>
          <w:szCs w:val="24"/>
        </w:rPr>
        <w:t>等全国有代表性的</w:t>
      </w:r>
      <w:r>
        <w:rPr>
          <w:rFonts w:hint="eastAsia" w:ascii="宋体" w:hAnsi="宋体" w:eastAsia="宋体" w:cs="宋体"/>
          <w:sz w:val="24"/>
          <w:szCs w:val="24"/>
          <w:lang w:eastAsia="zh-CN"/>
        </w:rPr>
        <w:t>几十家</w:t>
      </w:r>
      <w:r>
        <w:rPr>
          <w:rFonts w:hint="eastAsia" w:ascii="宋体" w:hAnsi="宋体" w:eastAsia="宋体" w:cs="宋体"/>
          <w:sz w:val="24"/>
          <w:szCs w:val="24"/>
        </w:rPr>
        <w:t>大型医院推广应用，解决了多年来股骨头坏死诊断治疗不规范的问题，使千百万患者得到正确治疗，社会效益显著。本研究相关成果发表在《Journal of Bone and Joint Surgery》、《BONE》、《Clinical Orthpeadics and Related Research》、《Biomaterials》、《</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"http://www.baidu.com/link?url=-F1vOmGS_Qk2XfD2FAUPQIn7qTX_7-PINtsIAz-FReTYGKT9wiwCxqq8o8tv-5VIzdpn2zHRse--pCyGnfiV9K"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Acta Biomaterialia</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《Microsurgery》、《Arch Orthop Trauma Surg》、《Orthopaedic Srugery》、《Chinese Medical Journal》、《中华医学杂志》、《中华骨科杂志》、《中华显微外科杂志》等国内外著名骨科杂志。2013 年应《MICROSURGERY》杂志邀请，撰写骨科显微修复治疗的专刊。通过这些基础和临床成果的多年应用, 以我们诊疗技术结果为主要依据，项目组召集国内（含港澳）此领域顶级专家制订股骨头坏死中国分期</w:t>
      </w:r>
      <w:r>
        <w:rPr>
          <w:rFonts w:hint="eastAsia" w:ascii="宋体" w:hAnsi="宋体" w:eastAsia="宋体" w:cs="宋体"/>
          <w:sz w:val="24"/>
          <w:szCs w:val="24"/>
          <w:lang w:eastAsia="zh-CN"/>
        </w:rPr>
        <w:t>、</w:t>
      </w:r>
      <w:r>
        <w:rPr>
          <w:rFonts w:hint="eastAsia" w:ascii="宋体" w:hAnsi="宋体" w:eastAsia="宋体" w:cs="宋体"/>
          <w:sz w:val="24"/>
          <w:szCs w:val="24"/>
        </w:rPr>
        <w:t>分型，股骨头坏死的诊疗标准及指南，分别以中华骨科学会关节外科学组和显微修复学组名义在中华骨科杂志等国内多部骨科杂志发表，并在全国各地各种会议、学习班等讲解、推广，使相关技术国内同行普及，对规范国内股骨头坏死的诊疗起到了重要作用。</w:t>
      </w:r>
    </w:p>
    <w:p>
      <w:pPr>
        <w:pStyle w:val="5"/>
        <w:spacing w:line="390" w:lineRule="exact"/>
        <w:ind w:firstLine="0" w:firstLineChars="0"/>
        <w:outlineLvl w:val="2"/>
        <w:rPr>
          <w:rFonts w:ascii="宋体" w:hAnsi="宋体"/>
          <w:b/>
          <w:color w:val="0D0D0D"/>
        </w:rPr>
      </w:pPr>
      <w:r>
        <w:rPr>
          <w:rFonts w:hint="eastAsia" w:ascii="宋体" w:hAnsi="宋体"/>
          <w:color w:val="0D0D0D"/>
          <w:lang w:val="en-US" w:eastAsia="zh-CN"/>
        </w:rPr>
        <w:t>2</w:t>
      </w:r>
      <w:r>
        <w:rPr>
          <w:rFonts w:hint="eastAsia" w:ascii="宋体" w:hAnsi="宋体"/>
          <w:b/>
          <w:color w:val="0D0D0D"/>
        </w:rPr>
        <w:t>．</w:t>
      </w:r>
      <w:r>
        <w:rPr>
          <w:rFonts w:ascii="宋体" w:hAnsi="宋体"/>
          <w:b/>
          <w:color w:val="0D0D0D"/>
        </w:rPr>
        <w:t>社会效益</w:t>
      </w:r>
    </w:p>
    <w:p>
      <w:pPr>
        <w:spacing w:line="360" w:lineRule="auto"/>
        <w:jc w:val="left"/>
        <w:rPr>
          <w:rFonts w:ascii="宋体" w:hAnsi="宋体" w:eastAsia="宋体"/>
          <w:sz w:val="24"/>
        </w:rPr>
      </w:pPr>
      <w:r>
        <w:rPr>
          <w:rFonts w:hint="eastAsia" w:ascii="宋体" w:hAnsi="宋体" w:eastAsia="宋体"/>
          <w:sz w:val="24"/>
        </w:rPr>
        <w:t xml:space="preserve">    我国现有股骨头坏死病例约</w:t>
      </w:r>
      <w:r>
        <w:rPr>
          <w:rFonts w:hint="eastAsia" w:ascii="宋体" w:hAnsi="宋体" w:eastAsia="宋体"/>
          <w:sz w:val="24"/>
          <w:lang w:val="en-US" w:eastAsia="zh-CN"/>
        </w:rPr>
        <w:t>800</w:t>
      </w:r>
      <w:r>
        <w:rPr>
          <w:rFonts w:hint="eastAsia" w:ascii="宋体" w:hAnsi="宋体" w:eastAsia="宋体"/>
          <w:sz w:val="24"/>
        </w:rPr>
        <w:t>-</w:t>
      </w:r>
      <w:r>
        <w:rPr>
          <w:rFonts w:hint="eastAsia" w:ascii="宋体" w:hAnsi="宋体" w:eastAsia="宋体"/>
          <w:sz w:val="24"/>
          <w:lang w:val="en-US" w:eastAsia="zh-CN"/>
        </w:rPr>
        <w:t>100</w:t>
      </w:r>
      <w:r>
        <w:rPr>
          <w:rFonts w:hint="eastAsia" w:ascii="宋体" w:hAnsi="宋体" w:eastAsia="宋体"/>
          <w:sz w:val="24"/>
        </w:rPr>
        <w:t>0万例，年新发病例约10-20万例，且多发于青壮年，愈后差，致残率高，严重影响生活工作及经济收入。该病已被列入国家医疗保险门诊慢性病目录，国家每年需支付巨大医疗费用。费用高昂的人工关节置换手术（青壮年关节寿命约10年左右，费用2-5万元/髋）给患者及其家庭带来了巨大的心理压力和经济负担。虽然曾有多种保头治疗方式被报道，同时由于病例选择及评价体系的不同，手术操作技术的差异，导致治疗后结果差异较大，难以广泛推广应用。</w:t>
      </w:r>
    </w:p>
    <w:p>
      <w:pPr>
        <w:spacing w:line="360" w:lineRule="auto"/>
        <w:jc w:val="left"/>
        <w:rPr>
          <w:rFonts w:ascii="宋体" w:hAnsi="宋体" w:eastAsia="宋体"/>
          <w:sz w:val="24"/>
        </w:rPr>
      </w:pPr>
      <w:r>
        <w:rPr>
          <w:rFonts w:hint="eastAsia" w:ascii="宋体" w:hAnsi="宋体" w:eastAsia="宋体"/>
          <w:sz w:val="24"/>
        </w:rPr>
        <w:t xml:space="preserve">    项目组针对骨坏死的基础与临床研究已形成系列治疗方案，累计开展保留股骨头手术逾万例，总体成功率</w:t>
      </w:r>
      <w:r>
        <w:rPr>
          <w:rFonts w:hint="eastAsia" w:ascii="宋体" w:hAnsi="宋体" w:eastAsia="宋体"/>
          <w:sz w:val="24"/>
          <w:lang w:eastAsia="zh-CN"/>
        </w:rPr>
        <w:t>提高显著</w:t>
      </w:r>
      <w:r>
        <w:rPr>
          <w:rFonts w:hint="eastAsia" w:ascii="宋体" w:hAnsi="宋体" w:eastAsia="宋体"/>
          <w:sz w:val="24"/>
        </w:rPr>
        <w:t>，使近万人避免或延缓了人工关节置换手术，按人工假体2.5万元/髋来估算，髋关节初次手术即可节省医疗费用约2.2亿元。</w:t>
      </w:r>
    </w:p>
    <w:p>
      <w:pPr>
        <w:spacing w:line="360" w:lineRule="auto"/>
        <w:jc w:val="left"/>
        <w:rPr>
          <w:rFonts w:ascii="宋体" w:hAnsi="宋体"/>
          <w:b/>
          <w:color w:val="0D0D0D"/>
          <w:sz w:val="28"/>
        </w:rPr>
      </w:pPr>
      <w:r>
        <w:rPr>
          <w:rFonts w:hint="eastAsia" w:ascii="宋体" w:hAnsi="宋体" w:eastAsia="宋体"/>
          <w:sz w:val="24"/>
          <w:lang w:val="en-US" w:eastAsia="zh-CN"/>
        </w:rPr>
        <w:t xml:space="preserve">    </w:t>
      </w:r>
      <w:r>
        <w:rPr>
          <w:rFonts w:hint="eastAsia" w:ascii="宋体" w:hAnsi="宋体" w:eastAsia="宋体"/>
          <w:sz w:val="24"/>
        </w:rPr>
        <w:t>项目开展后，累计培养博士、硕士人才</w:t>
      </w:r>
      <w:r>
        <w:rPr>
          <w:rFonts w:hint="eastAsia" w:ascii="宋体" w:hAnsi="宋体" w:eastAsia="宋体"/>
          <w:sz w:val="24"/>
          <w:lang w:val="en-US" w:eastAsia="zh-CN"/>
        </w:rPr>
        <w:t>20</w:t>
      </w:r>
      <w:r>
        <w:rPr>
          <w:rFonts w:hint="eastAsia" w:ascii="宋体" w:hAnsi="宋体" w:eastAsia="宋体"/>
          <w:sz w:val="24"/>
        </w:rPr>
        <w:t>8 人，举办十八期骨坏死学习班，培养骨科骨干</w:t>
      </w:r>
      <w:r>
        <w:rPr>
          <w:rFonts w:hint="eastAsia" w:ascii="宋体" w:hAnsi="宋体" w:eastAsia="宋体"/>
          <w:sz w:val="24"/>
          <w:lang w:eastAsia="zh-CN"/>
        </w:rPr>
        <w:t>五千余人</w:t>
      </w:r>
      <w:r>
        <w:rPr>
          <w:rFonts w:hint="eastAsia" w:ascii="宋体" w:hAnsi="宋体" w:eastAsia="宋体"/>
          <w:sz w:val="24"/>
        </w:rPr>
        <w:t>、全国各地进修医生116 人次，第一完成单位的骨外科及实验室分别获批国家</w:t>
      </w:r>
      <w:r>
        <w:rPr>
          <w:rFonts w:hint="eastAsia" w:ascii="宋体" w:hAnsi="宋体" w:eastAsia="宋体"/>
          <w:sz w:val="24"/>
          <w:lang w:eastAsia="zh-CN"/>
        </w:rPr>
        <w:t>临床</w:t>
      </w:r>
      <w:r>
        <w:rPr>
          <w:rFonts w:hint="eastAsia" w:ascii="宋体" w:hAnsi="宋体" w:eastAsia="宋体"/>
          <w:sz w:val="24"/>
        </w:rPr>
        <w:t>重点专科</w:t>
      </w:r>
      <w:r>
        <w:rPr>
          <w:rFonts w:hint="eastAsia" w:ascii="宋体" w:hAnsi="宋体" w:eastAsia="宋体"/>
          <w:sz w:val="24"/>
          <w:lang w:eastAsia="zh-CN"/>
        </w:rPr>
        <w:t>建设</w:t>
      </w:r>
      <w:r>
        <w:rPr>
          <w:rFonts w:hint="eastAsia" w:ascii="宋体" w:hAnsi="宋体" w:eastAsia="宋体"/>
          <w:sz w:val="24"/>
        </w:rPr>
        <w:t>项目及发改委国家重点实验室，相关研究获得教育部</w:t>
      </w:r>
      <w:r>
        <w:rPr>
          <w:rFonts w:hint="eastAsia" w:ascii="宋体" w:hAnsi="宋体" w:eastAsia="宋体"/>
          <w:sz w:val="24"/>
          <w:lang w:eastAsia="zh-CN"/>
        </w:rPr>
        <w:t>、</w:t>
      </w:r>
      <w:r>
        <w:rPr>
          <w:rFonts w:hint="eastAsia" w:ascii="宋体" w:hAnsi="宋体" w:eastAsia="宋体"/>
          <w:sz w:val="24"/>
        </w:rPr>
        <w:t>辽宁省</w:t>
      </w:r>
      <w:r>
        <w:rPr>
          <w:rFonts w:hint="eastAsia" w:ascii="宋体" w:hAnsi="宋体" w:eastAsia="宋体"/>
          <w:sz w:val="24"/>
          <w:lang w:eastAsia="zh-CN"/>
        </w:rPr>
        <w:t>、</w:t>
      </w:r>
      <w:r>
        <w:rPr>
          <w:rFonts w:hint="eastAsia" w:ascii="宋体" w:hAnsi="宋体" w:eastAsia="宋体"/>
          <w:sz w:val="24"/>
        </w:rPr>
        <w:t>大连市科技进步一等奖七次。2009年6月，鉴于项目完成人赵德伟教授在股骨头坏死诊治中所取得的杰出成就，中华慈善总会特聘赵德伟教授为“健行天下项目”股骨头坏死专家委员会首席专家，已开展扶贫工作8年。项目组的系列技术已在国内各大医院开展，并在经济效益和社会效益方面显示出较大优势。项目组牵头联合国内18家医院、企业和科研院所创建国内</w:t>
      </w:r>
      <w:r>
        <w:rPr>
          <w:rFonts w:hint="eastAsia" w:ascii="宋体" w:hAnsi="宋体" w:eastAsia="宋体" w:cs="宋体"/>
          <w:color w:val="000000"/>
          <w:sz w:val="24"/>
          <w:szCs w:val="24"/>
        </w:rPr>
        <w:t>首个可降解镁植入物临床转化创新战略联盟</w:t>
      </w:r>
      <w:r>
        <w:rPr>
          <w:rFonts w:hint="eastAsia" w:ascii="宋体" w:hAnsi="宋体" w:eastAsia="宋体" w:cs="宋体"/>
          <w:sz w:val="24"/>
          <w:szCs w:val="24"/>
        </w:rPr>
        <w:t>，开展可降解镁金属的</w:t>
      </w:r>
      <w:r>
        <w:rPr>
          <w:rFonts w:hint="eastAsia" w:ascii="宋体" w:hAnsi="宋体" w:eastAsia="宋体" w:cs="宋体"/>
          <w:sz w:val="24"/>
          <w:szCs w:val="24"/>
          <w:lang w:eastAsia="zh-CN"/>
        </w:rPr>
        <w:t>基础研究和</w:t>
      </w:r>
      <w:r>
        <w:rPr>
          <w:rFonts w:hint="eastAsia" w:ascii="宋体" w:hAnsi="宋体" w:eastAsia="宋体" w:cs="宋体"/>
          <w:sz w:val="24"/>
          <w:szCs w:val="24"/>
        </w:rPr>
        <w:t>临床应用</w:t>
      </w:r>
      <w:r>
        <w:rPr>
          <w:rFonts w:hint="eastAsia" w:ascii="宋体" w:hAnsi="宋体" w:eastAsia="宋体" w:cs="宋体"/>
          <w:color w:val="000000"/>
          <w:sz w:val="24"/>
          <w:szCs w:val="24"/>
        </w:rPr>
        <w:t>。</w:t>
      </w:r>
      <w:r>
        <w:rPr>
          <w:rFonts w:ascii="宋体" w:hAnsi="宋体"/>
          <w:color w:val="0D0D0D"/>
        </w:rPr>
        <w:br w:type="page"/>
      </w:r>
      <w:r>
        <w:rPr>
          <w:rFonts w:hint="eastAsia" w:ascii="宋体" w:hAnsi="宋体"/>
          <w:b/>
          <w:color w:val="0D0D0D"/>
          <w:sz w:val="28"/>
        </w:rPr>
        <w:t>七</w:t>
      </w:r>
      <w:r>
        <w:rPr>
          <w:rFonts w:ascii="宋体" w:hAnsi="宋体"/>
          <w:b/>
          <w:color w:val="0D0D0D"/>
          <w:sz w:val="28"/>
        </w:rPr>
        <w:t>、主要知识产权</w:t>
      </w:r>
      <w:r>
        <w:rPr>
          <w:rFonts w:hint="eastAsia" w:ascii="宋体" w:hAnsi="宋体"/>
          <w:b/>
          <w:color w:val="0D0D0D"/>
          <w:sz w:val="28"/>
        </w:rPr>
        <w:t>证明</w:t>
      </w:r>
      <w:r>
        <w:rPr>
          <w:rFonts w:ascii="宋体" w:hAnsi="宋体"/>
          <w:b/>
          <w:color w:val="0D0D0D"/>
          <w:sz w:val="28"/>
        </w:rPr>
        <w:t>目录</w:t>
      </w:r>
      <w:r>
        <w:rPr>
          <w:rFonts w:hint="eastAsia" w:ascii="宋体" w:hAnsi="宋体"/>
          <w:b/>
          <w:color w:val="0D0D0D"/>
          <w:sz w:val="28"/>
        </w:rPr>
        <w:t>（不超过10件）</w:t>
      </w:r>
    </w:p>
    <w:tbl>
      <w:tblPr>
        <w:tblStyle w:val="12"/>
        <w:tblW w:w="89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205"/>
        <w:gridCol w:w="945"/>
        <w:gridCol w:w="1245"/>
        <w:gridCol w:w="735"/>
        <w:gridCol w:w="1215"/>
        <w:gridCol w:w="840"/>
        <w:gridCol w:w="330"/>
        <w:gridCol w:w="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1" w:type="dxa"/>
            <w:vAlign w:val="center"/>
          </w:tcPr>
          <w:p>
            <w:pPr>
              <w:pStyle w:val="5"/>
              <w:spacing w:line="390" w:lineRule="exact"/>
              <w:ind w:firstLine="0" w:firstLineChars="0"/>
              <w:jc w:val="center"/>
              <w:rPr>
                <w:rFonts w:ascii="宋体" w:hAnsi="宋体"/>
                <w:color w:val="0D0D0D"/>
                <w:sz w:val="21"/>
              </w:rPr>
            </w:pPr>
            <w:r>
              <w:rPr>
                <w:rFonts w:ascii="宋体" w:hAnsi="宋体"/>
                <w:color w:val="0D0D0D"/>
                <w:sz w:val="21"/>
              </w:rPr>
              <w:t>知识产权类别</w:t>
            </w:r>
          </w:p>
        </w:tc>
        <w:tc>
          <w:tcPr>
            <w:tcW w:w="2205" w:type="dxa"/>
            <w:vAlign w:val="center"/>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知识产权具体</w:t>
            </w:r>
            <w:r>
              <w:rPr>
                <w:rFonts w:ascii="宋体" w:hAnsi="宋体"/>
                <w:color w:val="0D0D0D"/>
                <w:sz w:val="21"/>
              </w:rPr>
              <w:t>名称</w:t>
            </w:r>
          </w:p>
        </w:tc>
        <w:tc>
          <w:tcPr>
            <w:tcW w:w="945" w:type="dxa"/>
            <w:vAlign w:val="center"/>
          </w:tcPr>
          <w:p>
            <w:pPr>
              <w:pStyle w:val="5"/>
              <w:spacing w:line="390" w:lineRule="exact"/>
              <w:ind w:firstLine="0" w:firstLineChars="0"/>
              <w:jc w:val="center"/>
              <w:rPr>
                <w:rFonts w:ascii="宋体" w:hAnsi="宋体"/>
                <w:color w:val="0D0D0D"/>
                <w:sz w:val="21"/>
              </w:rPr>
            </w:pPr>
            <w:r>
              <w:rPr>
                <w:rFonts w:ascii="宋体" w:hAnsi="宋体"/>
                <w:color w:val="0D0D0D"/>
                <w:sz w:val="21"/>
              </w:rPr>
              <w:t>国</w:t>
            </w:r>
            <w:r>
              <w:rPr>
                <w:rFonts w:hint="eastAsia" w:ascii="宋体" w:hAnsi="宋体"/>
                <w:color w:val="0D0D0D"/>
                <w:sz w:val="21"/>
              </w:rPr>
              <w:t>家</w:t>
            </w:r>
          </w:p>
          <w:p>
            <w:pPr>
              <w:pStyle w:val="5"/>
              <w:spacing w:line="390" w:lineRule="exact"/>
              <w:ind w:firstLine="0" w:firstLineChars="0"/>
              <w:jc w:val="center"/>
              <w:rPr>
                <w:rFonts w:ascii="宋体" w:hAnsi="宋体"/>
                <w:color w:val="0D0D0D"/>
                <w:sz w:val="21"/>
              </w:rPr>
            </w:pPr>
            <w:r>
              <w:rPr>
                <w:rFonts w:ascii="宋体" w:hAnsi="宋体"/>
                <w:color w:val="0D0D0D"/>
                <w:sz w:val="21"/>
              </w:rPr>
              <w:t>（</w:t>
            </w:r>
            <w:r>
              <w:rPr>
                <w:rFonts w:hint="eastAsia" w:ascii="宋体" w:hAnsi="宋体"/>
                <w:color w:val="0D0D0D"/>
                <w:sz w:val="21"/>
              </w:rPr>
              <w:t>地</w:t>
            </w:r>
            <w:r>
              <w:rPr>
                <w:rFonts w:ascii="宋体" w:hAnsi="宋体"/>
                <w:color w:val="0D0D0D"/>
                <w:sz w:val="21"/>
              </w:rPr>
              <w:t>区）</w:t>
            </w:r>
          </w:p>
        </w:tc>
        <w:tc>
          <w:tcPr>
            <w:tcW w:w="1245" w:type="dxa"/>
            <w:vAlign w:val="center"/>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授权号</w:t>
            </w:r>
          </w:p>
        </w:tc>
        <w:tc>
          <w:tcPr>
            <w:tcW w:w="735" w:type="dxa"/>
            <w:vAlign w:val="center"/>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授权日期</w:t>
            </w:r>
          </w:p>
        </w:tc>
        <w:tc>
          <w:tcPr>
            <w:tcW w:w="1215" w:type="dxa"/>
            <w:vAlign w:val="center"/>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证书编号</w:t>
            </w:r>
          </w:p>
        </w:tc>
        <w:tc>
          <w:tcPr>
            <w:tcW w:w="840" w:type="dxa"/>
            <w:vAlign w:val="center"/>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权利人</w:t>
            </w:r>
          </w:p>
        </w:tc>
        <w:tc>
          <w:tcPr>
            <w:tcW w:w="330" w:type="dxa"/>
            <w:vAlign w:val="center"/>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发明人</w:t>
            </w:r>
          </w:p>
        </w:tc>
        <w:tc>
          <w:tcPr>
            <w:tcW w:w="640" w:type="dxa"/>
            <w:vAlign w:val="center"/>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1" w:type="dxa"/>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论文</w:t>
            </w:r>
          </w:p>
        </w:tc>
        <w:tc>
          <w:tcPr>
            <w:tcW w:w="2205" w:type="dxa"/>
          </w:tcPr>
          <w:p>
            <w:pPr>
              <w:jc w:val="left"/>
              <w:rPr>
                <w:rFonts w:ascii="宋体" w:hAnsi="宋体"/>
                <w:color w:val="0D0D0D"/>
              </w:rPr>
            </w:pPr>
            <w:r>
              <w:rPr>
                <w:rFonts w:hint="eastAsia" w:ascii="宋体" w:hAnsi="宋体"/>
                <w:color w:val="0D0D0D"/>
              </w:rPr>
              <w:t>成人股骨头坏死临床诊疗指南（2016）</w:t>
            </w:r>
          </w:p>
        </w:tc>
        <w:tc>
          <w:tcPr>
            <w:tcW w:w="945" w:type="dxa"/>
          </w:tcPr>
          <w:p>
            <w:pPr>
              <w:jc w:val="left"/>
              <w:rPr>
                <w:rFonts w:ascii="宋体" w:hAnsi="宋体"/>
                <w:color w:val="0D0D0D"/>
              </w:rPr>
            </w:pPr>
            <w:r>
              <w:rPr>
                <w:rFonts w:hint="eastAsia" w:ascii="宋体" w:hAnsi="宋体"/>
                <w:color w:val="0D0D0D"/>
              </w:rPr>
              <w:t>中国</w:t>
            </w:r>
          </w:p>
        </w:tc>
        <w:tc>
          <w:tcPr>
            <w:tcW w:w="1245" w:type="dxa"/>
          </w:tcPr>
          <w:p>
            <w:pPr>
              <w:jc w:val="left"/>
              <w:rPr>
                <w:rFonts w:ascii="宋体" w:hAnsi="宋体"/>
                <w:color w:val="0D0D0D"/>
              </w:rPr>
            </w:pPr>
            <w:r>
              <w:rPr>
                <w:rFonts w:hint="eastAsia" w:ascii="Times New Roman" w:hAnsi="Times New Roman" w:eastAsia="AdvOT863180fb" w:cs="Times New Roman"/>
                <w:sz w:val="18"/>
                <w:szCs w:val="18"/>
              </w:rPr>
              <w:t>DOI:10.3760/cma.j.issn.0253-2352.2016.15.001</w:t>
            </w:r>
          </w:p>
        </w:tc>
        <w:tc>
          <w:tcPr>
            <w:tcW w:w="735" w:type="dxa"/>
          </w:tcPr>
          <w:p>
            <w:pPr>
              <w:jc w:val="left"/>
              <w:rPr>
                <w:rFonts w:ascii="宋体" w:hAnsi="宋体"/>
                <w:color w:val="0D0D0D"/>
              </w:rPr>
            </w:pPr>
            <w:r>
              <w:rPr>
                <w:rFonts w:hint="eastAsia" w:ascii="Times New Roman" w:hAnsi="Times New Roman" w:eastAsia="宋体" w:cs="Times New Roman"/>
                <w:sz w:val="18"/>
                <w:szCs w:val="18"/>
              </w:rPr>
              <w:t>2016年8月</w:t>
            </w:r>
          </w:p>
        </w:tc>
        <w:tc>
          <w:tcPr>
            <w:tcW w:w="1215" w:type="dxa"/>
          </w:tcPr>
          <w:p>
            <w:pPr>
              <w:jc w:val="left"/>
              <w:rPr>
                <w:rFonts w:ascii="宋体" w:hAnsi="宋体"/>
                <w:color w:val="0D0D0D"/>
              </w:rPr>
            </w:pPr>
            <w:r>
              <w:rPr>
                <w:rFonts w:hint="eastAsia" w:ascii="Times New Roman" w:hAnsi="Times New Roman" w:eastAsia="AdvOT863180fb" w:cs="Times New Roman"/>
                <w:sz w:val="18"/>
                <w:szCs w:val="18"/>
              </w:rPr>
              <w:t>中华骨科杂志，2016，36（15）：945-954</w:t>
            </w:r>
          </w:p>
        </w:tc>
        <w:tc>
          <w:tcPr>
            <w:tcW w:w="84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330" w:type="dxa"/>
          </w:tcPr>
          <w:p>
            <w:pPr>
              <w:jc w:val="left"/>
              <w:rPr>
                <w:rFonts w:ascii="宋体" w:hAnsi="宋体"/>
                <w:color w:val="0D0D0D"/>
              </w:rPr>
            </w:pPr>
          </w:p>
        </w:tc>
        <w:tc>
          <w:tcPr>
            <w:tcW w:w="640" w:type="dxa"/>
          </w:tcPr>
          <w:p>
            <w:pPr>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1" w:type="dxa"/>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论文</w:t>
            </w:r>
          </w:p>
        </w:tc>
        <w:tc>
          <w:tcPr>
            <w:tcW w:w="2205" w:type="dxa"/>
          </w:tcPr>
          <w:p>
            <w:pPr>
              <w:pStyle w:val="5"/>
              <w:spacing w:line="240" w:lineRule="auto"/>
              <w:ind w:firstLine="0" w:firstLineChars="0"/>
              <w:rPr>
                <w:rFonts w:ascii="宋体" w:hAnsi="宋体"/>
                <w:color w:val="0D0D0D"/>
              </w:rPr>
            </w:pPr>
            <w:r>
              <w:rPr>
                <w:rFonts w:ascii="Times New Roman" w:hAnsi="Times New Roman" w:eastAsia="AdvOT863180fb" w:cs="Times New Roman"/>
                <w:sz w:val="18"/>
                <w:szCs w:val="18"/>
              </w:rPr>
              <w:t xml:space="preserve">Vascularized bone grafting </w:t>
            </w:r>
            <w:r>
              <w:rPr>
                <w:rFonts w:ascii="Times New Roman" w:hAnsi="Times New Roman" w:eastAsia="AdvOT863180fb+fb" w:cs="Times New Roman"/>
                <w:sz w:val="18"/>
                <w:szCs w:val="18"/>
              </w:rPr>
              <w:t>fi</w:t>
            </w:r>
            <w:r>
              <w:rPr>
                <w:rFonts w:ascii="Times New Roman" w:hAnsi="Times New Roman" w:eastAsia="AdvOT863180fb" w:cs="Times New Roman"/>
                <w:sz w:val="18"/>
                <w:szCs w:val="18"/>
              </w:rPr>
              <w:t>xed by</w:t>
            </w:r>
            <w:r>
              <w:rPr>
                <w:rFonts w:hint="eastAsia" w:ascii="Times New Roman" w:hAnsi="Times New Roman" w:eastAsia="宋体" w:cs="Times New Roman"/>
                <w:sz w:val="18"/>
                <w:szCs w:val="18"/>
              </w:rPr>
              <w:t xml:space="preserve"> </w:t>
            </w:r>
            <w:r>
              <w:rPr>
                <w:rFonts w:ascii="Times New Roman" w:hAnsi="Times New Roman" w:eastAsia="AdvOT863180fb" w:cs="Times New Roman"/>
                <w:sz w:val="18"/>
                <w:szCs w:val="18"/>
              </w:rPr>
              <w:t>biodegradable magnesium screw</w:t>
            </w:r>
            <w:r>
              <w:rPr>
                <w:rFonts w:hint="eastAsia" w:ascii="Times New Roman" w:hAnsi="Times New Roman" w:eastAsia="宋体" w:cs="Times New Roman"/>
                <w:sz w:val="18"/>
                <w:szCs w:val="18"/>
              </w:rPr>
              <w:t xml:space="preserve"> </w:t>
            </w:r>
            <w:r>
              <w:rPr>
                <w:rFonts w:ascii="Times New Roman" w:hAnsi="Times New Roman" w:eastAsia="AdvOT863180fb" w:cs="Times New Roman"/>
                <w:sz w:val="18"/>
                <w:szCs w:val="18"/>
              </w:rPr>
              <w:t>for treating</w:t>
            </w:r>
            <w:r>
              <w:rPr>
                <w:rFonts w:hint="eastAsia" w:ascii="Times New Roman" w:hAnsi="Times New Roman" w:eastAsia="宋体" w:cs="Times New Roman"/>
                <w:sz w:val="18"/>
                <w:szCs w:val="18"/>
              </w:rPr>
              <w:t xml:space="preserve"> </w:t>
            </w:r>
            <w:r>
              <w:rPr>
                <w:rFonts w:ascii="Times New Roman" w:hAnsi="Times New Roman" w:eastAsia="AdvOT863180fb" w:cs="Times New Roman"/>
                <w:sz w:val="18"/>
                <w:szCs w:val="18"/>
              </w:rPr>
              <w:t>osteonecrosis of the femoral head</w:t>
            </w:r>
          </w:p>
        </w:tc>
        <w:tc>
          <w:tcPr>
            <w:tcW w:w="945" w:type="dxa"/>
          </w:tcPr>
          <w:p>
            <w:pPr>
              <w:jc w:val="left"/>
              <w:rPr>
                <w:rFonts w:ascii="Times New Roman" w:hAnsi="Times New Roman" w:eastAsia="AdvOT863180fb" w:cs="Times New Roman"/>
                <w:sz w:val="18"/>
                <w:szCs w:val="18"/>
              </w:rPr>
            </w:pPr>
            <w:r>
              <w:rPr>
                <w:rFonts w:hint="eastAsia" w:ascii="Times New Roman" w:hAnsi="Times New Roman" w:eastAsia="AdvOT863180fb" w:cs="Times New Roman"/>
                <w:sz w:val="18"/>
                <w:szCs w:val="18"/>
              </w:rPr>
              <w:t>SCI</w:t>
            </w:r>
          </w:p>
        </w:tc>
        <w:tc>
          <w:tcPr>
            <w:tcW w:w="1245" w:type="dxa"/>
          </w:tcPr>
          <w:p>
            <w:pPr>
              <w:jc w:val="left"/>
              <w:rPr>
                <w:rFonts w:ascii="Times New Roman" w:hAnsi="Times New Roman" w:eastAsia="AdvOT863180fb" w:cs="Times New Roman"/>
                <w:sz w:val="18"/>
                <w:szCs w:val="18"/>
              </w:rPr>
            </w:pPr>
            <w:r>
              <w:rPr>
                <w:rFonts w:hint="eastAsia" w:ascii="Times New Roman" w:hAnsi="Times New Roman" w:eastAsia="AdvOT863180fb" w:cs="Times New Roman"/>
                <w:sz w:val="18"/>
                <w:szCs w:val="18"/>
              </w:rPr>
              <w:t>doi: 10.1016/j.biomaterials.2015.11.038.</w:t>
            </w:r>
          </w:p>
        </w:tc>
        <w:tc>
          <w:tcPr>
            <w:tcW w:w="735" w:type="dxa"/>
          </w:tcPr>
          <w:p>
            <w:pPr>
              <w:pStyle w:val="5"/>
              <w:spacing w:line="24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2016年3月</w:t>
            </w:r>
          </w:p>
        </w:tc>
        <w:tc>
          <w:tcPr>
            <w:tcW w:w="1215" w:type="dxa"/>
          </w:tcPr>
          <w:p>
            <w:pPr>
              <w:pStyle w:val="5"/>
              <w:spacing w:line="240" w:lineRule="auto"/>
              <w:ind w:firstLine="0" w:firstLineChars="0"/>
              <w:rPr>
                <w:rFonts w:ascii="Times New Roman" w:hAnsi="Times New Roman" w:eastAsia="AdvOT863180fb" w:cs="Times New Roman"/>
                <w:sz w:val="18"/>
                <w:szCs w:val="18"/>
              </w:rPr>
            </w:pPr>
            <w:r>
              <w:rPr>
                <w:rFonts w:hint="eastAsia" w:ascii="Times New Roman" w:hAnsi="Times New Roman" w:eastAsia="AdvOT863180fb" w:cs="Times New Roman"/>
                <w:sz w:val="18"/>
                <w:szCs w:val="18"/>
              </w:rPr>
              <w:t>Biomaterial，2016,1:84-92.</w:t>
            </w:r>
          </w:p>
        </w:tc>
        <w:tc>
          <w:tcPr>
            <w:tcW w:w="84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330" w:type="dxa"/>
          </w:tcPr>
          <w:p>
            <w:pPr>
              <w:pStyle w:val="5"/>
              <w:spacing w:line="390" w:lineRule="exact"/>
              <w:ind w:firstLine="0" w:firstLineChars="0"/>
              <w:rPr>
                <w:rFonts w:ascii="宋体" w:hAnsi="宋体"/>
                <w:color w:val="0D0D0D"/>
              </w:rPr>
            </w:pPr>
          </w:p>
        </w:tc>
        <w:tc>
          <w:tcPr>
            <w:tcW w:w="640" w:type="dxa"/>
          </w:tcPr>
          <w:p>
            <w:pPr>
              <w:pStyle w:val="5"/>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1" w:type="dxa"/>
          </w:tcPr>
          <w:p>
            <w:pPr>
              <w:pStyle w:val="5"/>
              <w:spacing w:line="390" w:lineRule="exact"/>
              <w:ind w:firstLine="0" w:firstLineChars="0"/>
              <w:jc w:val="center"/>
              <w:rPr>
                <w:rFonts w:ascii="宋体" w:hAnsi="宋体"/>
                <w:color w:val="0D0D0D"/>
                <w:sz w:val="21"/>
              </w:rPr>
            </w:pPr>
            <w:r>
              <w:rPr>
                <w:rFonts w:hint="eastAsia" w:ascii="宋体" w:hAnsi="宋体"/>
                <w:color w:val="0D0D0D"/>
                <w:sz w:val="21"/>
              </w:rPr>
              <w:t>论文</w:t>
            </w:r>
          </w:p>
        </w:tc>
        <w:tc>
          <w:tcPr>
            <w:tcW w:w="2205" w:type="dxa"/>
          </w:tcPr>
          <w:p>
            <w:pPr>
              <w:pStyle w:val="5"/>
              <w:spacing w:line="240" w:lineRule="auto"/>
              <w:ind w:firstLine="0" w:firstLineChars="0"/>
              <w:rPr>
                <w:rFonts w:ascii="宋体" w:hAnsi="宋体"/>
                <w:color w:val="0D0D0D"/>
              </w:rPr>
            </w:pPr>
            <w:r>
              <w:rPr>
                <w:rFonts w:hint="eastAsia" w:ascii="Times New Roman" w:hAnsi="Times New Roman" w:eastAsia="宋体" w:cs="Times New Roman"/>
                <w:sz w:val="18"/>
                <w:szCs w:val="18"/>
              </w:rPr>
              <w:t>Tt</w:t>
            </w:r>
            <w:r>
              <w:rPr>
                <w:rFonts w:hint="eastAsia" w:ascii="Times New Roman" w:hAnsi="Times New Roman" w:eastAsia="AdvOT863180fb" w:cs="Times New Roman"/>
                <w:sz w:val="18"/>
                <w:szCs w:val="18"/>
              </w:rPr>
              <w:t>reatment of early stage osteonecrosis of the femoral head with autologousimplantation of bone marrow-derived and cultured mesenchymal stem cells.</w:t>
            </w:r>
          </w:p>
        </w:tc>
        <w:tc>
          <w:tcPr>
            <w:tcW w:w="945" w:type="dxa"/>
          </w:tcPr>
          <w:p>
            <w:pPr>
              <w:jc w:val="left"/>
              <w:rPr>
                <w:rFonts w:ascii="Times New Roman" w:hAnsi="Times New Roman" w:eastAsia="AdvOT863180fb" w:cs="Times New Roman"/>
                <w:sz w:val="18"/>
                <w:szCs w:val="18"/>
              </w:rPr>
            </w:pPr>
            <w:r>
              <w:rPr>
                <w:rFonts w:hint="eastAsia" w:ascii="Times New Roman" w:hAnsi="Times New Roman" w:eastAsia="AdvOT863180fb" w:cs="Times New Roman"/>
                <w:sz w:val="18"/>
                <w:szCs w:val="18"/>
              </w:rPr>
              <w:t>SCI</w:t>
            </w:r>
          </w:p>
        </w:tc>
        <w:tc>
          <w:tcPr>
            <w:tcW w:w="1245" w:type="dxa"/>
          </w:tcPr>
          <w:p>
            <w:pPr>
              <w:jc w:val="left"/>
              <w:rPr>
                <w:rFonts w:ascii="Times New Roman" w:hAnsi="Times New Roman" w:eastAsia="AdvOT863180fb" w:cs="Times New Roman"/>
                <w:sz w:val="18"/>
                <w:szCs w:val="18"/>
              </w:rPr>
            </w:pPr>
            <w:r>
              <w:rPr>
                <w:rFonts w:hint="eastAsia" w:ascii="Times New Roman" w:hAnsi="Times New Roman" w:eastAsia="AdvOT863180fb" w:cs="Times New Roman"/>
                <w:sz w:val="18"/>
                <w:szCs w:val="18"/>
              </w:rPr>
              <w:t>DOI:</w:t>
            </w:r>
            <w:r>
              <w:fldChar w:fldCharType="begin"/>
            </w:r>
            <w:r>
              <w:instrText xml:space="preserve"> HYPERLINK "https://dx.doi.org/10.1016/j.bone.2011.11.002" </w:instrText>
            </w:r>
            <w:r>
              <w:fldChar w:fldCharType="separate"/>
            </w:r>
            <w:r>
              <w:rPr>
                <w:rFonts w:hint="eastAsia" w:ascii="Times New Roman" w:hAnsi="Times New Roman" w:eastAsia="AdvOT863180fb" w:cs="Times New Roman"/>
                <w:sz w:val="18"/>
                <w:szCs w:val="18"/>
              </w:rPr>
              <w:t>10.1016/j.bone.2011.11.002</w:t>
            </w:r>
            <w:r>
              <w:rPr>
                <w:rFonts w:hint="eastAsia" w:ascii="Times New Roman" w:hAnsi="Times New Roman" w:eastAsia="AdvOT863180fb" w:cs="Times New Roman"/>
                <w:sz w:val="18"/>
                <w:szCs w:val="18"/>
              </w:rPr>
              <w:fldChar w:fldCharType="end"/>
            </w:r>
          </w:p>
          <w:p>
            <w:pPr>
              <w:jc w:val="left"/>
              <w:rPr>
                <w:rFonts w:ascii="Times New Roman" w:hAnsi="Times New Roman" w:eastAsia="AdvOT863180fb" w:cs="Times New Roman"/>
                <w:sz w:val="18"/>
                <w:szCs w:val="18"/>
              </w:rPr>
            </w:pPr>
          </w:p>
        </w:tc>
        <w:tc>
          <w:tcPr>
            <w:tcW w:w="735" w:type="dxa"/>
          </w:tcPr>
          <w:p>
            <w:pPr>
              <w:pStyle w:val="5"/>
              <w:spacing w:line="240" w:lineRule="auto"/>
              <w:ind w:firstLine="0" w:firstLineChars="0"/>
              <w:rPr>
                <w:rFonts w:ascii="Times New Roman" w:hAnsi="Times New Roman" w:eastAsia="AdvOT863180fb" w:cs="Times New Roman"/>
                <w:sz w:val="18"/>
                <w:szCs w:val="18"/>
              </w:rPr>
            </w:pPr>
            <w:r>
              <w:rPr>
                <w:rFonts w:hint="eastAsia" w:ascii="Times New Roman" w:hAnsi="Times New Roman" w:eastAsia="AdvOT863180fb" w:cs="Times New Roman"/>
                <w:sz w:val="18"/>
                <w:szCs w:val="18"/>
              </w:rPr>
              <w:t>2012年1月</w:t>
            </w:r>
          </w:p>
        </w:tc>
        <w:tc>
          <w:tcPr>
            <w:tcW w:w="1215" w:type="dxa"/>
          </w:tcPr>
          <w:p>
            <w:pPr>
              <w:pStyle w:val="5"/>
              <w:spacing w:line="240" w:lineRule="auto"/>
              <w:ind w:firstLine="0" w:firstLineChars="0"/>
              <w:rPr>
                <w:rFonts w:ascii="Times New Roman" w:hAnsi="Times New Roman" w:eastAsia="AdvOT863180fb" w:cs="Times New Roman"/>
                <w:sz w:val="18"/>
                <w:szCs w:val="18"/>
              </w:rPr>
            </w:pPr>
            <w:r>
              <w:rPr>
                <w:rFonts w:hint="eastAsia" w:ascii="Times New Roman" w:hAnsi="Times New Roman" w:eastAsia="AdvOT863180fb" w:cs="Times New Roman"/>
                <w:sz w:val="18"/>
                <w:szCs w:val="18"/>
              </w:rPr>
              <w:t>Bone 50 (2012) 325–330.</w:t>
            </w:r>
          </w:p>
        </w:tc>
        <w:tc>
          <w:tcPr>
            <w:tcW w:w="84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330" w:type="dxa"/>
          </w:tcPr>
          <w:p>
            <w:pPr>
              <w:pStyle w:val="5"/>
              <w:spacing w:line="390" w:lineRule="exact"/>
              <w:ind w:firstLine="0" w:firstLineChars="0"/>
              <w:rPr>
                <w:rFonts w:ascii="宋体" w:hAnsi="宋体"/>
                <w:color w:val="0D0D0D"/>
              </w:rPr>
            </w:pPr>
          </w:p>
        </w:tc>
        <w:tc>
          <w:tcPr>
            <w:tcW w:w="640" w:type="dxa"/>
          </w:tcPr>
          <w:p>
            <w:pPr>
              <w:pStyle w:val="5"/>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1" w:type="dxa"/>
          </w:tcPr>
          <w:p>
            <w:pPr>
              <w:jc w:val="left"/>
              <w:rPr>
                <w:rFonts w:ascii="宋体" w:hAnsi="宋体"/>
                <w:color w:val="0D0D0D"/>
              </w:rPr>
            </w:pPr>
            <w:r>
              <w:rPr>
                <w:rFonts w:hint="eastAsia" w:ascii="宋体" w:hAnsi="宋体"/>
                <w:color w:val="0D0D0D"/>
              </w:rPr>
              <w:t>著作</w:t>
            </w:r>
          </w:p>
        </w:tc>
        <w:tc>
          <w:tcPr>
            <w:tcW w:w="2205" w:type="dxa"/>
          </w:tcPr>
          <w:p>
            <w:pPr>
              <w:jc w:val="left"/>
              <w:rPr>
                <w:rFonts w:ascii="AdobeSongStd-Light" w:hAnsi="AdobeSongStd-Light" w:eastAsia="AdobeSongStd-Light"/>
                <w:sz w:val="20"/>
              </w:rPr>
            </w:pPr>
            <w:r>
              <w:rPr>
                <w:rFonts w:hint="eastAsia" w:ascii="AdobeSongStd-Light" w:hAnsi="AdobeSongStd-Light" w:eastAsia="AdobeSongStd-Light"/>
                <w:sz w:val="20"/>
              </w:rPr>
              <w:t>著作《股骨</w:t>
            </w:r>
          </w:p>
          <w:p>
            <w:pPr>
              <w:jc w:val="left"/>
              <w:rPr>
                <w:rFonts w:ascii="AdobeSongStd-Light" w:hAnsi="AdobeSongStd-Light" w:eastAsia="AdobeSongStd-Light"/>
                <w:sz w:val="20"/>
              </w:rPr>
            </w:pPr>
            <w:r>
              <w:rPr>
                <w:rFonts w:hint="eastAsia" w:ascii="AdobeSongStd-Light" w:hAnsi="AdobeSongStd-Light" w:eastAsia="AdobeSongStd-Light"/>
                <w:sz w:val="20"/>
              </w:rPr>
              <w:t>头缺血性坏</w:t>
            </w:r>
          </w:p>
          <w:p>
            <w:pPr>
              <w:jc w:val="left"/>
              <w:rPr>
                <w:rFonts w:ascii="AdobeSongStd-Light" w:hAnsi="AdobeSongStd-Light" w:eastAsia="AdobeSongStd-Light"/>
                <w:sz w:val="20"/>
              </w:rPr>
            </w:pPr>
            <w:r>
              <w:rPr>
                <w:rFonts w:hint="eastAsia" w:ascii="AdobeSongStd-Light" w:hAnsi="AdobeSongStd-Light" w:eastAsia="AdobeSongStd-Light"/>
                <w:sz w:val="20"/>
              </w:rPr>
              <w:t>死的修复与</w:t>
            </w:r>
          </w:p>
          <w:p>
            <w:pPr>
              <w:jc w:val="left"/>
              <w:rPr>
                <w:rFonts w:ascii="AdobeSongStd-Light" w:hAnsi="AdobeSongStd-Light" w:eastAsia="AdobeSongStd-Light"/>
                <w:sz w:val="20"/>
              </w:rPr>
            </w:pPr>
            <w:r>
              <w:rPr>
                <w:rFonts w:hint="eastAsia" w:ascii="AdobeSongStd-Light" w:hAnsi="AdobeSongStd-Light" w:eastAsia="AdobeSongStd-Light"/>
                <w:sz w:val="20"/>
              </w:rPr>
              <w:t>再造》（第</w:t>
            </w:r>
          </w:p>
          <w:p>
            <w:pPr>
              <w:jc w:val="left"/>
              <w:rPr>
                <w:rFonts w:ascii="AdobeSongStd-Light" w:hAnsi="AdobeSongStd-Light" w:eastAsia="AdobeSongStd-Light"/>
                <w:sz w:val="20"/>
              </w:rPr>
            </w:pPr>
            <w:r>
              <w:rPr>
                <w:rFonts w:hint="eastAsia" w:ascii="AdobeSongStd-Light" w:hAnsi="AdobeSongStd-Light" w:eastAsia="AdobeSongStd-Light"/>
                <w:sz w:val="20"/>
              </w:rPr>
              <w:t>三版）</w:t>
            </w:r>
          </w:p>
        </w:tc>
        <w:tc>
          <w:tcPr>
            <w:tcW w:w="945" w:type="dxa"/>
          </w:tcPr>
          <w:p>
            <w:pPr>
              <w:jc w:val="left"/>
              <w:rPr>
                <w:rFonts w:ascii="AdobeSongStd-Light" w:hAnsi="AdobeSongStd-Light" w:eastAsia="AdobeSongStd-Light"/>
                <w:sz w:val="20"/>
              </w:rPr>
            </w:pPr>
            <w:r>
              <w:rPr>
                <w:rFonts w:hint="eastAsia" w:ascii="宋体" w:hAnsi="宋体"/>
                <w:color w:val="0D0D0D"/>
              </w:rPr>
              <w:t>中国</w:t>
            </w:r>
          </w:p>
        </w:tc>
        <w:tc>
          <w:tcPr>
            <w:tcW w:w="1245" w:type="dxa"/>
          </w:tcPr>
          <w:p>
            <w:pPr>
              <w:jc w:val="left"/>
              <w:rPr>
                <w:rFonts w:ascii="AdobeSongStd-Light" w:hAnsi="AdobeSongStd-Light" w:eastAsia="AdobeSongStd-Light"/>
                <w:sz w:val="20"/>
              </w:rPr>
            </w:pPr>
            <w:r>
              <w:rPr>
                <w:rFonts w:hint="eastAsia" w:ascii="AdobeSongStd-Light" w:hAnsi="AdobeSongStd-Light" w:eastAsia="AdobeSongStd-Light"/>
                <w:sz w:val="20"/>
              </w:rPr>
              <w:t>ISBN 978-7-</w:t>
            </w:r>
          </w:p>
          <w:p>
            <w:pPr>
              <w:jc w:val="left"/>
              <w:rPr>
                <w:rFonts w:ascii="AdobeSongStd-Light" w:hAnsi="AdobeSongStd-Light" w:eastAsia="AdobeSongStd-Light"/>
                <w:sz w:val="20"/>
              </w:rPr>
            </w:pPr>
            <w:r>
              <w:rPr>
                <w:rFonts w:hint="eastAsia" w:ascii="AdobeSongStd-Light" w:hAnsi="AdobeSongStd-Light" w:eastAsia="AdobeSongStd-Light"/>
                <w:sz w:val="20"/>
              </w:rPr>
              <w:t>117-17290-</w:t>
            </w:r>
          </w:p>
          <w:p>
            <w:pPr>
              <w:jc w:val="left"/>
              <w:rPr>
                <w:rFonts w:ascii="AdobeSongStd-Light" w:hAnsi="AdobeSongStd-Light" w:eastAsia="AdobeSongStd-Light"/>
                <w:sz w:val="20"/>
              </w:rPr>
            </w:pPr>
            <w:r>
              <w:rPr>
                <w:rFonts w:hint="eastAsia" w:ascii="AdobeSongStd-Light" w:hAnsi="AdobeSongStd-Light" w:eastAsia="AdobeSongStd-Light"/>
                <w:sz w:val="20"/>
              </w:rPr>
              <w:t>5/R.17291</w:t>
            </w:r>
          </w:p>
        </w:tc>
        <w:tc>
          <w:tcPr>
            <w:tcW w:w="735" w:type="dxa"/>
          </w:tcPr>
          <w:p>
            <w:pPr>
              <w:jc w:val="left"/>
              <w:rPr>
                <w:rFonts w:ascii="AdobeSongStd-Light" w:hAnsi="AdobeSongStd-Light" w:eastAsia="AdobeSongStd-Light"/>
                <w:sz w:val="20"/>
              </w:rPr>
            </w:pPr>
            <w:r>
              <w:rPr>
                <w:rFonts w:hint="eastAsia" w:ascii="AdobeSongStd-Light" w:hAnsi="AdobeSongStd-Light" w:eastAsia="AdobeSongStd-Light"/>
                <w:sz w:val="20"/>
              </w:rPr>
              <w:t>2013</w:t>
            </w:r>
          </w:p>
          <w:p>
            <w:pPr>
              <w:jc w:val="left"/>
              <w:rPr>
                <w:rFonts w:ascii="AdobeSongStd-Light" w:hAnsi="AdobeSongStd-Light" w:eastAsia="AdobeSongStd-Light"/>
                <w:sz w:val="20"/>
              </w:rPr>
            </w:pPr>
            <w:r>
              <w:rPr>
                <w:rFonts w:hint="eastAsia" w:ascii="AdobeSongStd-Light" w:hAnsi="AdobeSongStd-Light" w:eastAsia="AdobeSongStd-Light"/>
                <w:sz w:val="20"/>
              </w:rPr>
              <w:t>年</w:t>
            </w:r>
          </w:p>
          <w:p>
            <w:pPr>
              <w:jc w:val="left"/>
              <w:rPr>
                <w:rFonts w:ascii="AdobeSongStd-Light" w:hAnsi="AdobeSongStd-Light" w:eastAsia="AdobeSongStd-Light"/>
                <w:sz w:val="20"/>
              </w:rPr>
            </w:pPr>
            <w:r>
              <w:rPr>
                <w:rFonts w:hint="eastAsia" w:ascii="AdobeSongStd-Light" w:hAnsi="AdobeSongStd-Light" w:eastAsia="AdobeSongStd-Light"/>
                <w:sz w:val="20"/>
              </w:rPr>
              <w:t>07月</w:t>
            </w:r>
          </w:p>
          <w:p>
            <w:pPr>
              <w:jc w:val="left"/>
              <w:rPr>
                <w:rFonts w:ascii="AdobeSongStd-Light" w:hAnsi="AdobeSongStd-Light" w:eastAsia="AdobeSongStd-Light"/>
                <w:sz w:val="20"/>
              </w:rPr>
            </w:pPr>
            <w:r>
              <w:rPr>
                <w:rFonts w:hint="eastAsia" w:ascii="AdobeSongStd-Light" w:hAnsi="AdobeSongStd-Light" w:eastAsia="AdobeSongStd-Light"/>
                <w:sz w:val="20"/>
              </w:rPr>
              <w:t>01日</w:t>
            </w:r>
          </w:p>
        </w:tc>
        <w:tc>
          <w:tcPr>
            <w:tcW w:w="1215" w:type="dxa"/>
          </w:tcPr>
          <w:p>
            <w:pPr>
              <w:jc w:val="left"/>
              <w:rPr>
                <w:rFonts w:ascii="AdobeSongStd-Light" w:hAnsi="AdobeSongStd-Light" w:eastAsia="AdobeSongStd-Light"/>
                <w:sz w:val="20"/>
              </w:rPr>
            </w:pPr>
            <w:r>
              <w:rPr>
                <w:rFonts w:hint="eastAsia" w:ascii="AdobeSongStd-Light" w:hAnsi="AdobeSongStd-Light" w:eastAsia="AdobeSongStd-Light"/>
                <w:sz w:val="20"/>
              </w:rPr>
              <w:t>中国版本图书馆</w:t>
            </w:r>
          </w:p>
          <w:p>
            <w:pPr>
              <w:jc w:val="left"/>
              <w:rPr>
                <w:rFonts w:ascii="AdobeSongStd-Light" w:hAnsi="AdobeSongStd-Light" w:eastAsia="AdobeSongStd-Light"/>
                <w:sz w:val="20"/>
              </w:rPr>
            </w:pPr>
            <w:r>
              <w:rPr>
                <w:rFonts w:hint="eastAsia" w:ascii="AdobeSongStd-Light" w:hAnsi="AdobeSongStd-Light" w:eastAsia="AdobeSongStd-Light"/>
                <w:sz w:val="20"/>
              </w:rPr>
              <w:t>CIP数据核字</w:t>
            </w:r>
          </w:p>
          <w:p>
            <w:pPr>
              <w:jc w:val="left"/>
              <w:rPr>
                <w:rFonts w:ascii="AdobeSongStd-Light" w:hAnsi="AdobeSongStd-Light" w:eastAsia="AdobeSongStd-Light"/>
                <w:sz w:val="20"/>
              </w:rPr>
            </w:pPr>
            <w:r>
              <w:rPr>
                <w:rFonts w:hint="eastAsia" w:ascii="AdobeSongStd-Light" w:hAnsi="AdobeSongStd-Light" w:eastAsia="AdobeSongStd-Light"/>
                <w:sz w:val="20"/>
              </w:rPr>
              <w:t>（2013）第</w:t>
            </w:r>
          </w:p>
          <w:p>
            <w:pPr>
              <w:jc w:val="left"/>
              <w:rPr>
                <w:rFonts w:ascii="AdobeSongStd-Light" w:hAnsi="AdobeSongStd-Light" w:eastAsia="AdobeSongStd-Light"/>
                <w:sz w:val="20"/>
              </w:rPr>
            </w:pPr>
            <w:r>
              <w:rPr>
                <w:rFonts w:hint="eastAsia" w:ascii="AdobeSongStd-Light" w:hAnsi="AdobeSongStd-Light" w:eastAsia="AdobeSongStd-Light"/>
                <w:sz w:val="20"/>
              </w:rPr>
              <w:t>120941号</w:t>
            </w:r>
          </w:p>
        </w:tc>
        <w:tc>
          <w:tcPr>
            <w:tcW w:w="84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330" w:type="dxa"/>
          </w:tcPr>
          <w:p>
            <w:pPr>
              <w:jc w:val="left"/>
              <w:rPr>
                <w:rFonts w:ascii="宋体" w:hAnsi="宋体"/>
                <w:color w:val="0D0D0D"/>
              </w:rPr>
            </w:pPr>
          </w:p>
        </w:tc>
        <w:tc>
          <w:tcPr>
            <w:tcW w:w="640" w:type="dxa"/>
          </w:tcPr>
          <w:p>
            <w:pPr>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1" w:type="dxa"/>
          </w:tcPr>
          <w:p>
            <w:pPr>
              <w:jc w:val="left"/>
              <w:rPr>
                <w:rFonts w:ascii="宋体" w:hAnsi="宋体"/>
                <w:color w:val="0D0D0D"/>
              </w:rPr>
            </w:pPr>
            <w:r>
              <w:rPr>
                <w:rFonts w:hint="eastAsia" w:ascii="宋体" w:hAnsi="宋体"/>
                <w:color w:val="0D0D0D"/>
              </w:rPr>
              <w:t>著作</w:t>
            </w:r>
          </w:p>
        </w:tc>
        <w:tc>
          <w:tcPr>
            <w:tcW w:w="2205" w:type="dxa"/>
          </w:tcPr>
          <w:p>
            <w:pPr>
              <w:jc w:val="left"/>
              <w:rPr>
                <w:rFonts w:ascii="AdobeSongStd-Light" w:hAnsi="AdobeSongStd-Light" w:eastAsia="AdobeSongStd-Light"/>
                <w:sz w:val="20"/>
              </w:rPr>
            </w:pPr>
            <w:r>
              <w:rPr>
                <w:rFonts w:hint="eastAsia" w:ascii="AdobeSongStd-Light" w:hAnsi="AdobeSongStd-Light" w:eastAsia="AdobeSongStd-Light"/>
                <w:sz w:val="20"/>
              </w:rPr>
              <w:t>著作《骨内</w:t>
            </w:r>
          </w:p>
          <w:p>
            <w:pPr>
              <w:jc w:val="left"/>
              <w:rPr>
                <w:rFonts w:ascii="AdobeSongStd-Light" w:hAnsi="AdobeSongStd-Light" w:eastAsia="AdobeSongStd-Light"/>
                <w:sz w:val="20"/>
              </w:rPr>
            </w:pPr>
            <w:r>
              <w:rPr>
                <w:rFonts w:hint="eastAsia" w:ascii="AdobeSongStd-Light" w:hAnsi="AdobeSongStd-Light" w:eastAsia="AdobeSongStd-Light"/>
                <w:sz w:val="20"/>
              </w:rPr>
              <w:t>科学-从临</w:t>
            </w:r>
          </w:p>
          <w:p>
            <w:pPr>
              <w:jc w:val="left"/>
              <w:rPr>
                <w:rFonts w:ascii="AdobeSongStd-Light" w:hAnsi="AdobeSongStd-Light" w:eastAsia="AdobeSongStd-Light"/>
                <w:sz w:val="20"/>
              </w:rPr>
            </w:pPr>
            <w:r>
              <w:rPr>
                <w:rFonts w:hint="eastAsia" w:ascii="AdobeSongStd-Light" w:hAnsi="AdobeSongStd-Light" w:eastAsia="AdobeSongStd-Light"/>
                <w:sz w:val="20"/>
              </w:rPr>
              <w:t>床到实验室</w:t>
            </w:r>
          </w:p>
          <w:p>
            <w:pPr>
              <w:jc w:val="left"/>
              <w:rPr>
                <w:rFonts w:ascii="AdobeSongStd-Light" w:hAnsi="AdobeSongStd-Light" w:eastAsia="AdobeSongStd-Light"/>
                <w:sz w:val="20"/>
              </w:rPr>
            </w:pPr>
            <w:r>
              <w:rPr>
                <w:rFonts w:hint="eastAsia" w:ascii="AdobeSongStd-Light" w:hAnsi="AdobeSongStd-Light" w:eastAsia="AdobeSongStd-Light"/>
                <w:sz w:val="20"/>
              </w:rPr>
              <w:t>到临床和社</w:t>
            </w:r>
          </w:p>
          <w:p>
            <w:pPr>
              <w:jc w:val="left"/>
              <w:rPr>
                <w:rFonts w:ascii="宋体" w:hAnsi="宋体"/>
                <w:color w:val="0D0D0D"/>
              </w:rPr>
            </w:pPr>
            <w:r>
              <w:rPr>
                <w:rFonts w:hint="eastAsia" w:ascii="AdobeSongStd-Light" w:hAnsi="AdobeSongStd-Light" w:eastAsia="AdobeSongStd-Light"/>
                <w:sz w:val="20"/>
              </w:rPr>
              <w:t>区》</w:t>
            </w:r>
          </w:p>
        </w:tc>
        <w:tc>
          <w:tcPr>
            <w:tcW w:w="945" w:type="dxa"/>
          </w:tcPr>
          <w:p>
            <w:pPr>
              <w:jc w:val="left"/>
              <w:rPr>
                <w:rFonts w:ascii="宋体" w:hAnsi="宋体"/>
                <w:color w:val="0D0D0D"/>
              </w:rPr>
            </w:pPr>
            <w:r>
              <w:rPr>
                <w:rFonts w:hint="eastAsia" w:ascii="AdobeSongStd-Light" w:hAnsi="AdobeSongStd-Light" w:eastAsia="AdobeSongStd-Light"/>
                <w:sz w:val="20"/>
              </w:rPr>
              <w:t>中国</w:t>
            </w:r>
          </w:p>
        </w:tc>
        <w:tc>
          <w:tcPr>
            <w:tcW w:w="1245" w:type="dxa"/>
          </w:tcPr>
          <w:p>
            <w:pPr>
              <w:jc w:val="left"/>
              <w:rPr>
                <w:rFonts w:ascii="AdobeSongStd-Light" w:hAnsi="AdobeSongStd-Light" w:eastAsia="AdobeSongStd-Light"/>
                <w:sz w:val="20"/>
              </w:rPr>
            </w:pPr>
            <w:r>
              <w:rPr>
                <w:rFonts w:hint="eastAsia" w:ascii="AdobeSongStd-Light" w:hAnsi="AdobeSongStd-Light" w:eastAsia="AdobeSongStd-Light"/>
                <w:sz w:val="20"/>
              </w:rPr>
              <w:t>ISBN 978-7-</w:t>
            </w:r>
          </w:p>
          <w:p>
            <w:pPr>
              <w:jc w:val="left"/>
              <w:rPr>
                <w:rFonts w:ascii="AdobeSongStd-Light" w:hAnsi="AdobeSongStd-Light" w:eastAsia="AdobeSongStd-Light"/>
                <w:sz w:val="20"/>
              </w:rPr>
            </w:pPr>
            <w:r>
              <w:rPr>
                <w:rFonts w:hint="eastAsia" w:ascii="AdobeSongStd-Light" w:hAnsi="AdobeSongStd-Light" w:eastAsia="AdobeSongStd-Light"/>
                <w:sz w:val="20"/>
              </w:rPr>
              <w:t>117-18088-</w:t>
            </w:r>
          </w:p>
          <w:p>
            <w:pPr>
              <w:jc w:val="left"/>
              <w:rPr>
                <w:rFonts w:ascii="宋体" w:hAnsi="宋体"/>
                <w:color w:val="0D0D0D"/>
              </w:rPr>
            </w:pPr>
            <w:r>
              <w:rPr>
                <w:rFonts w:hint="eastAsia" w:ascii="AdobeSongStd-Light" w:hAnsi="AdobeSongStd-Light" w:eastAsia="AdobeSongStd-Light"/>
                <w:sz w:val="20"/>
              </w:rPr>
              <w:t>7/R.18089</w:t>
            </w:r>
          </w:p>
        </w:tc>
        <w:tc>
          <w:tcPr>
            <w:tcW w:w="735" w:type="dxa"/>
          </w:tcPr>
          <w:p>
            <w:pPr>
              <w:jc w:val="left"/>
              <w:rPr>
                <w:rFonts w:ascii="AdobeSongStd-Light" w:hAnsi="AdobeSongStd-Light" w:eastAsia="AdobeSongStd-Light"/>
                <w:sz w:val="20"/>
              </w:rPr>
            </w:pPr>
            <w:r>
              <w:rPr>
                <w:rFonts w:hint="eastAsia" w:ascii="AdobeSongStd-Light" w:hAnsi="AdobeSongStd-Light" w:eastAsia="AdobeSongStd-Light"/>
                <w:sz w:val="20"/>
              </w:rPr>
              <w:t>2013</w:t>
            </w:r>
          </w:p>
          <w:p>
            <w:pPr>
              <w:jc w:val="left"/>
              <w:rPr>
                <w:rFonts w:ascii="AdobeSongStd-Light" w:hAnsi="AdobeSongStd-Light" w:eastAsia="AdobeSongStd-Light"/>
                <w:sz w:val="20"/>
              </w:rPr>
            </w:pPr>
            <w:r>
              <w:rPr>
                <w:rFonts w:hint="eastAsia" w:ascii="AdobeSongStd-Light" w:hAnsi="AdobeSongStd-Light" w:eastAsia="AdobeSongStd-Light"/>
                <w:sz w:val="20"/>
              </w:rPr>
              <w:t>年</w:t>
            </w:r>
          </w:p>
          <w:p>
            <w:pPr>
              <w:jc w:val="left"/>
              <w:rPr>
                <w:rFonts w:ascii="AdobeSongStd-Light" w:hAnsi="AdobeSongStd-Light" w:eastAsia="AdobeSongStd-Light"/>
                <w:sz w:val="20"/>
              </w:rPr>
            </w:pPr>
            <w:r>
              <w:rPr>
                <w:rFonts w:hint="eastAsia" w:ascii="AdobeSongStd-Light" w:hAnsi="AdobeSongStd-Light" w:eastAsia="AdobeSongStd-Light"/>
                <w:sz w:val="20"/>
              </w:rPr>
              <w:t>10月</w:t>
            </w:r>
          </w:p>
          <w:p>
            <w:pPr>
              <w:jc w:val="left"/>
              <w:rPr>
                <w:rFonts w:ascii="宋体" w:hAnsi="宋体"/>
                <w:color w:val="0D0D0D"/>
              </w:rPr>
            </w:pPr>
            <w:r>
              <w:rPr>
                <w:rFonts w:hint="eastAsia" w:ascii="AdobeSongStd-Light" w:hAnsi="AdobeSongStd-Light" w:eastAsia="AdobeSongStd-Light"/>
                <w:sz w:val="20"/>
              </w:rPr>
              <w:t>01日</w:t>
            </w:r>
          </w:p>
        </w:tc>
        <w:tc>
          <w:tcPr>
            <w:tcW w:w="1215" w:type="dxa"/>
          </w:tcPr>
          <w:p>
            <w:pPr>
              <w:jc w:val="left"/>
              <w:rPr>
                <w:rFonts w:ascii="AdobeSongStd-Light" w:hAnsi="AdobeSongStd-Light" w:eastAsia="AdobeSongStd-Light"/>
                <w:sz w:val="20"/>
              </w:rPr>
            </w:pPr>
            <w:r>
              <w:rPr>
                <w:rFonts w:hint="eastAsia" w:ascii="AdobeSongStd-Light" w:hAnsi="AdobeSongStd-Light" w:eastAsia="AdobeSongStd-Light"/>
                <w:sz w:val="20"/>
              </w:rPr>
              <w:t>中国版本图书馆</w:t>
            </w:r>
          </w:p>
          <w:p>
            <w:pPr>
              <w:jc w:val="left"/>
              <w:rPr>
                <w:rFonts w:ascii="AdobeSongStd-Light" w:hAnsi="AdobeSongStd-Light" w:eastAsia="AdobeSongStd-Light"/>
                <w:sz w:val="20"/>
              </w:rPr>
            </w:pPr>
            <w:r>
              <w:rPr>
                <w:rFonts w:hint="eastAsia" w:ascii="AdobeSongStd-Light" w:hAnsi="AdobeSongStd-Light" w:eastAsia="AdobeSongStd-Light"/>
                <w:sz w:val="20"/>
              </w:rPr>
              <w:t>CIP数据核字</w:t>
            </w:r>
          </w:p>
          <w:p>
            <w:pPr>
              <w:jc w:val="left"/>
              <w:rPr>
                <w:rFonts w:ascii="AdobeSongStd-Light" w:hAnsi="AdobeSongStd-Light" w:eastAsia="AdobeSongStd-Light"/>
                <w:sz w:val="20"/>
              </w:rPr>
            </w:pPr>
            <w:r>
              <w:rPr>
                <w:rFonts w:hint="eastAsia" w:ascii="AdobeSongStd-Light" w:hAnsi="AdobeSongStd-Light" w:eastAsia="AdobeSongStd-Light"/>
                <w:sz w:val="20"/>
              </w:rPr>
              <w:t>（2013）第</w:t>
            </w:r>
          </w:p>
          <w:p>
            <w:pPr>
              <w:jc w:val="left"/>
              <w:rPr>
                <w:rFonts w:ascii="宋体" w:hAnsi="宋体"/>
                <w:color w:val="0D0D0D"/>
              </w:rPr>
            </w:pPr>
            <w:r>
              <w:rPr>
                <w:rFonts w:hint="eastAsia" w:ascii="AdobeSongStd-Light" w:hAnsi="AdobeSongStd-Light" w:eastAsia="AdobeSongStd-Light"/>
                <w:sz w:val="20"/>
              </w:rPr>
              <w:t>215402号</w:t>
            </w:r>
          </w:p>
        </w:tc>
        <w:tc>
          <w:tcPr>
            <w:tcW w:w="840" w:type="dxa"/>
          </w:tcPr>
          <w:p>
            <w:pPr>
              <w:jc w:val="left"/>
              <w:rPr>
                <w:rFonts w:ascii="宋体" w:hAnsi="宋体"/>
                <w:color w:val="0D0D0D"/>
              </w:rPr>
            </w:pPr>
            <w:r>
              <w:rPr>
                <w:rFonts w:hint="eastAsia" w:ascii="AdobeSongStd-Light" w:hAnsi="AdobeSongStd-Light" w:eastAsia="AdobeSongStd-Light"/>
                <w:sz w:val="20"/>
              </w:rPr>
              <w:t>秦岭</w:t>
            </w:r>
          </w:p>
        </w:tc>
        <w:tc>
          <w:tcPr>
            <w:tcW w:w="330" w:type="dxa"/>
          </w:tcPr>
          <w:p>
            <w:pPr>
              <w:jc w:val="left"/>
              <w:rPr>
                <w:rFonts w:ascii="宋体" w:hAnsi="宋体"/>
                <w:color w:val="0D0D0D"/>
              </w:rPr>
            </w:pPr>
          </w:p>
        </w:tc>
        <w:tc>
          <w:tcPr>
            <w:tcW w:w="640" w:type="dxa"/>
          </w:tcPr>
          <w:p>
            <w:pPr>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91" w:type="dxa"/>
          </w:tcPr>
          <w:p>
            <w:pPr>
              <w:jc w:val="left"/>
              <w:rPr>
                <w:rFonts w:ascii="AdobeSongStd-Light" w:hAnsi="AdobeSongStd-Light" w:eastAsia="AdobeSongStd-Light"/>
                <w:sz w:val="20"/>
              </w:rPr>
            </w:pPr>
            <w:r>
              <w:rPr>
                <w:rFonts w:hint="eastAsia" w:ascii="AdobeSongStd-Light" w:hAnsi="AdobeSongStd-Light" w:eastAsia="AdobeSongStd-Light"/>
                <w:sz w:val="20"/>
              </w:rPr>
              <w:t>著作</w:t>
            </w:r>
          </w:p>
        </w:tc>
        <w:tc>
          <w:tcPr>
            <w:tcW w:w="2205" w:type="dxa"/>
          </w:tcPr>
          <w:p>
            <w:pPr>
              <w:jc w:val="left"/>
              <w:rPr>
                <w:rFonts w:ascii="AdobeSongStd-Light" w:hAnsi="AdobeSongStd-Light" w:eastAsia="AdobeSongStd-Light"/>
                <w:sz w:val="20"/>
              </w:rPr>
            </w:pPr>
            <w:r>
              <w:rPr>
                <w:rFonts w:hint="eastAsia" w:ascii="AdobeSongStd-Light" w:hAnsi="AdobeSongStd-Light" w:eastAsia="AdobeSongStd-Light"/>
                <w:sz w:val="20"/>
              </w:rPr>
              <w:t>《骨坏死》</w:t>
            </w:r>
          </w:p>
        </w:tc>
        <w:tc>
          <w:tcPr>
            <w:tcW w:w="945" w:type="dxa"/>
          </w:tcPr>
          <w:p>
            <w:pPr>
              <w:jc w:val="left"/>
              <w:rPr>
                <w:rFonts w:ascii="AdobeSongStd-Light" w:hAnsi="AdobeSongStd-Light" w:eastAsia="AdobeSongStd-Light"/>
                <w:sz w:val="20"/>
              </w:rPr>
            </w:pPr>
            <w:r>
              <w:rPr>
                <w:rFonts w:hint="eastAsia" w:ascii="AdobeSongStd-Light" w:hAnsi="AdobeSongStd-Light" w:eastAsia="AdobeSongStd-Light"/>
                <w:sz w:val="20"/>
              </w:rPr>
              <w:t>中国</w:t>
            </w:r>
          </w:p>
        </w:tc>
        <w:tc>
          <w:tcPr>
            <w:tcW w:w="1245" w:type="dxa"/>
          </w:tcPr>
          <w:p>
            <w:pPr>
              <w:jc w:val="left"/>
              <w:rPr>
                <w:rFonts w:ascii="AdobeSongStd-Light" w:hAnsi="AdobeSongStd-Light" w:eastAsia="AdobeSongStd-Light"/>
                <w:sz w:val="20"/>
              </w:rPr>
            </w:pPr>
          </w:p>
        </w:tc>
        <w:tc>
          <w:tcPr>
            <w:tcW w:w="735" w:type="dxa"/>
          </w:tcPr>
          <w:p>
            <w:pPr>
              <w:jc w:val="left"/>
              <w:rPr>
                <w:rFonts w:ascii="AdobeSongStd-Light" w:hAnsi="AdobeSongStd-Light" w:eastAsia="AdobeSongStd-Light"/>
                <w:sz w:val="20"/>
              </w:rPr>
            </w:pPr>
          </w:p>
        </w:tc>
        <w:tc>
          <w:tcPr>
            <w:tcW w:w="1215" w:type="dxa"/>
          </w:tcPr>
          <w:p>
            <w:pPr>
              <w:jc w:val="left"/>
              <w:rPr>
                <w:rFonts w:ascii="AdobeSongStd-Light" w:hAnsi="AdobeSongStd-Light" w:eastAsia="AdobeSongStd-Light"/>
                <w:sz w:val="20"/>
              </w:rPr>
            </w:pPr>
          </w:p>
        </w:tc>
        <w:tc>
          <w:tcPr>
            <w:tcW w:w="840" w:type="dxa"/>
          </w:tcPr>
          <w:p>
            <w:pPr>
              <w:jc w:val="left"/>
              <w:rPr>
                <w:rFonts w:ascii="AdobeSongStd-Light" w:hAnsi="AdobeSongStd-Light" w:eastAsia="AdobeSongStd-Light"/>
                <w:sz w:val="20"/>
              </w:rPr>
            </w:pPr>
            <w:r>
              <w:rPr>
                <w:rFonts w:hint="eastAsia" w:ascii="AdobeSongStd-Light" w:hAnsi="AdobeSongStd-Light" w:eastAsia="AdobeSongStd-Light"/>
                <w:sz w:val="20"/>
              </w:rPr>
              <w:t>李子荣</w:t>
            </w:r>
          </w:p>
        </w:tc>
        <w:tc>
          <w:tcPr>
            <w:tcW w:w="330" w:type="dxa"/>
          </w:tcPr>
          <w:p>
            <w:pPr>
              <w:jc w:val="left"/>
              <w:rPr>
                <w:rFonts w:ascii="AdobeSongStd-Light" w:hAnsi="AdobeSongStd-Light" w:eastAsia="AdobeSongStd-Light"/>
                <w:sz w:val="20"/>
              </w:rPr>
            </w:pPr>
          </w:p>
        </w:tc>
        <w:tc>
          <w:tcPr>
            <w:tcW w:w="640" w:type="dxa"/>
          </w:tcPr>
          <w:p>
            <w:pPr>
              <w:jc w:val="left"/>
              <w:rPr>
                <w:rFonts w:ascii="AdobeSongStd-Light" w:hAnsi="AdobeSongStd-Light" w:eastAsia="AdobeSongStd-Light"/>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1" w:type="dxa"/>
          </w:tcPr>
          <w:p>
            <w:pPr>
              <w:jc w:val="left"/>
              <w:rPr>
                <w:rFonts w:ascii="AdobeSongStd-Light" w:hAnsi="AdobeSongStd-Light" w:eastAsia="AdobeSongStd-Light"/>
                <w:sz w:val="20"/>
              </w:rPr>
            </w:pPr>
            <w:r>
              <w:rPr>
                <w:rFonts w:hint="eastAsia" w:ascii="AdobeSongStd-Light" w:hAnsi="AdobeSongStd-Light" w:eastAsia="AdobeSongStd-Light"/>
                <w:sz w:val="20"/>
              </w:rPr>
              <w:t>发明专利</w:t>
            </w:r>
          </w:p>
        </w:tc>
        <w:tc>
          <w:tcPr>
            <w:tcW w:w="2205" w:type="dxa"/>
          </w:tcPr>
          <w:p>
            <w:pPr>
              <w:jc w:val="left"/>
              <w:rPr>
                <w:rFonts w:ascii="AdobeSongStd-Light" w:hAnsi="AdobeSongStd-Light" w:eastAsia="AdobeSongStd-Light"/>
                <w:sz w:val="20"/>
              </w:rPr>
            </w:pPr>
            <w:r>
              <w:rPr>
                <w:rFonts w:hint="eastAsia" w:ascii="AdobeSongStd-Light" w:hAnsi="AdobeSongStd-Light" w:eastAsia="AdobeSongStd-Light"/>
                <w:sz w:val="20"/>
              </w:rPr>
              <w:t>一种多孔钽金属空心螺钉及其应用</w:t>
            </w:r>
          </w:p>
        </w:tc>
        <w:tc>
          <w:tcPr>
            <w:tcW w:w="945" w:type="dxa"/>
          </w:tcPr>
          <w:p>
            <w:pPr>
              <w:jc w:val="left"/>
              <w:rPr>
                <w:rFonts w:ascii="AdobeSongStd-Light" w:hAnsi="AdobeSongStd-Light" w:eastAsia="AdobeSongStd-Light"/>
                <w:sz w:val="20"/>
              </w:rPr>
            </w:pPr>
            <w:r>
              <w:rPr>
                <w:rFonts w:hint="eastAsia" w:ascii="AdobeSongStd-Light" w:hAnsi="AdobeSongStd-Light" w:eastAsia="AdobeSongStd-Light"/>
                <w:sz w:val="20"/>
              </w:rPr>
              <w:t>中国</w:t>
            </w:r>
          </w:p>
        </w:tc>
        <w:tc>
          <w:tcPr>
            <w:tcW w:w="1245" w:type="dxa"/>
          </w:tcPr>
          <w:p>
            <w:pPr>
              <w:jc w:val="left"/>
              <w:rPr>
                <w:rFonts w:ascii="AdobeSongStd-Light" w:hAnsi="AdobeSongStd-Light" w:eastAsia="AdobeSongStd-Light"/>
                <w:sz w:val="20"/>
              </w:rPr>
            </w:pPr>
            <w:r>
              <w:rPr>
                <w:rFonts w:hint="eastAsia" w:ascii="AdobeSongStd-Light" w:hAnsi="AdobeSongStd-Light" w:eastAsia="AdobeSongStd-Light"/>
                <w:sz w:val="20"/>
              </w:rPr>
              <w:t>ZL2015 1 0712216.5</w:t>
            </w:r>
          </w:p>
        </w:tc>
        <w:tc>
          <w:tcPr>
            <w:tcW w:w="735" w:type="dxa"/>
          </w:tcPr>
          <w:p>
            <w:pPr>
              <w:jc w:val="left"/>
              <w:rPr>
                <w:rFonts w:ascii="AdobeSongStd-Light" w:hAnsi="AdobeSongStd-Light" w:eastAsia="AdobeSongStd-Light"/>
                <w:sz w:val="20"/>
              </w:rPr>
            </w:pPr>
            <w:r>
              <w:rPr>
                <w:rFonts w:hint="eastAsia" w:ascii="AdobeSongStd-Light" w:hAnsi="AdobeSongStd-Light" w:eastAsia="AdobeSongStd-Light"/>
                <w:sz w:val="20"/>
              </w:rPr>
              <w:t>2016-08-31</w:t>
            </w:r>
          </w:p>
        </w:tc>
        <w:tc>
          <w:tcPr>
            <w:tcW w:w="1215" w:type="dxa"/>
          </w:tcPr>
          <w:p>
            <w:pPr>
              <w:jc w:val="left"/>
              <w:rPr>
                <w:rFonts w:ascii="AdobeSongStd-Light" w:hAnsi="AdobeSongStd-Light" w:eastAsia="AdobeSongStd-Light"/>
                <w:sz w:val="20"/>
              </w:rPr>
            </w:pPr>
            <w:r>
              <w:rPr>
                <w:rFonts w:hint="eastAsia" w:ascii="AdobeSongStd-Light" w:hAnsi="AdobeSongStd-Light" w:eastAsia="AdobeSongStd-Light"/>
                <w:sz w:val="20"/>
              </w:rPr>
              <w:t>2222578</w:t>
            </w:r>
          </w:p>
        </w:tc>
        <w:tc>
          <w:tcPr>
            <w:tcW w:w="84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33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640" w:type="dxa"/>
          </w:tcPr>
          <w:p>
            <w:pPr>
              <w:jc w:val="left"/>
              <w:rPr>
                <w:rFonts w:ascii="AdobeSongStd-Light" w:hAnsi="AdobeSongStd-Light" w:eastAsia="AdobeSongStd-Light"/>
                <w:sz w:val="20"/>
              </w:rPr>
            </w:pPr>
            <w:r>
              <w:rPr>
                <w:rFonts w:hint="eastAsia" w:ascii="AdobeSongStd-Light" w:hAnsi="AdobeSongStd-Light" w:eastAsia="AdobeSongStd-Light"/>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791" w:type="dxa"/>
          </w:tcPr>
          <w:p>
            <w:pPr>
              <w:jc w:val="left"/>
              <w:rPr>
                <w:rFonts w:ascii="AdobeSongStd-Light" w:hAnsi="AdobeSongStd-Light" w:eastAsia="AdobeSongStd-Light"/>
                <w:sz w:val="20"/>
              </w:rPr>
            </w:pPr>
            <w:r>
              <w:rPr>
                <w:rFonts w:hint="eastAsia" w:ascii="AdobeSongStd-Light" w:hAnsi="AdobeSongStd-Light" w:eastAsia="AdobeSongStd-Light"/>
                <w:sz w:val="20"/>
              </w:rPr>
              <w:t>实用新型专利</w:t>
            </w:r>
          </w:p>
        </w:tc>
        <w:tc>
          <w:tcPr>
            <w:tcW w:w="2205" w:type="dxa"/>
          </w:tcPr>
          <w:p>
            <w:pPr>
              <w:jc w:val="left"/>
              <w:rPr>
                <w:rFonts w:ascii="AdobeSongStd-Light" w:hAnsi="AdobeSongStd-Light" w:eastAsia="AdobeSongStd-Light"/>
                <w:sz w:val="20"/>
              </w:rPr>
            </w:pPr>
            <w:r>
              <w:rPr>
                <w:rFonts w:hint="eastAsia" w:ascii="AdobeSongStd-Light" w:hAnsi="AdobeSongStd-Light" w:eastAsia="AdobeSongStd-Light"/>
                <w:sz w:val="20"/>
              </w:rPr>
              <w:t>一种全螺纹可降解纯镁螺钉</w:t>
            </w:r>
          </w:p>
        </w:tc>
        <w:tc>
          <w:tcPr>
            <w:tcW w:w="945" w:type="dxa"/>
          </w:tcPr>
          <w:p>
            <w:pPr>
              <w:jc w:val="left"/>
              <w:rPr>
                <w:rFonts w:ascii="AdobeSongStd-Light" w:hAnsi="AdobeSongStd-Light" w:eastAsia="AdobeSongStd-Light"/>
                <w:sz w:val="20"/>
              </w:rPr>
            </w:pPr>
            <w:r>
              <w:rPr>
                <w:rFonts w:hint="eastAsia" w:ascii="AdobeSongStd-Light" w:hAnsi="AdobeSongStd-Light" w:eastAsia="AdobeSongStd-Light"/>
                <w:sz w:val="20"/>
              </w:rPr>
              <w:t>中国</w:t>
            </w:r>
          </w:p>
        </w:tc>
        <w:tc>
          <w:tcPr>
            <w:tcW w:w="1245" w:type="dxa"/>
          </w:tcPr>
          <w:p>
            <w:pPr>
              <w:jc w:val="left"/>
              <w:rPr>
                <w:rFonts w:ascii="AdobeSongStd-Light" w:hAnsi="AdobeSongStd-Light" w:eastAsia="AdobeSongStd-Light"/>
                <w:sz w:val="20"/>
              </w:rPr>
            </w:pPr>
            <w:r>
              <w:rPr>
                <w:rFonts w:hint="eastAsia" w:ascii="AdobeSongStd-Light" w:hAnsi="AdobeSongStd-Light" w:eastAsia="AdobeSongStd-Light"/>
                <w:sz w:val="20"/>
              </w:rPr>
              <w:t>ZL201420475384.8</w:t>
            </w:r>
          </w:p>
        </w:tc>
        <w:tc>
          <w:tcPr>
            <w:tcW w:w="735" w:type="dxa"/>
          </w:tcPr>
          <w:p>
            <w:pPr>
              <w:jc w:val="left"/>
              <w:rPr>
                <w:rFonts w:ascii="AdobeSongStd-Light" w:hAnsi="AdobeSongStd-Light" w:eastAsia="AdobeSongStd-Light"/>
                <w:sz w:val="20"/>
              </w:rPr>
            </w:pPr>
            <w:r>
              <w:rPr>
                <w:rFonts w:hint="eastAsia" w:ascii="AdobeSongStd-Light" w:hAnsi="AdobeSongStd-Light" w:eastAsia="AdobeSongStd-Light"/>
                <w:sz w:val="20"/>
              </w:rPr>
              <w:t>2014-12-10</w:t>
            </w:r>
          </w:p>
        </w:tc>
        <w:tc>
          <w:tcPr>
            <w:tcW w:w="1215" w:type="dxa"/>
          </w:tcPr>
          <w:p>
            <w:pPr>
              <w:jc w:val="left"/>
              <w:rPr>
                <w:rFonts w:ascii="AdobeSongStd-Light" w:hAnsi="AdobeSongStd-Light" w:eastAsia="AdobeSongStd-Light"/>
                <w:sz w:val="20"/>
              </w:rPr>
            </w:pPr>
            <w:r>
              <w:rPr>
                <w:rFonts w:hint="eastAsia" w:ascii="AdobeSongStd-Light" w:hAnsi="AdobeSongStd-Light" w:eastAsia="AdobeSongStd-Light"/>
                <w:sz w:val="20"/>
              </w:rPr>
              <w:t>3975534</w:t>
            </w:r>
          </w:p>
        </w:tc>
        <w:tc>
          <w:tcPr>
            <w:tcW w:w="84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330" w:type="dxa"/>
          </w:tcPr>
          <w:p>
            <w:pPr>
              <w:jc w:val="left"/>
              <w:rPr>
                <w:rFonts w:ascii="AdobeSongStd-Light" w:hAnsi="AdobeSongStd-Light" w:eastAsia="AdobeSongStd-Light"/>
                <w:sz w:val="20"/>
              </w:rPr>
            </w:pPr>
            <w:r>
              <w:rPr>
                <w:rFonts w:hint="eastAsia" w:ascii="AdobeSongStd-Light" w:hAnsi="AdobeSongStd-Light" w:eastAsia="AdobeSongStd-Light"/>
                <w:sz w:val="20"/>
              </w:rPr>
              <w:t>赵德伟</w:t>
            </w:r>
          </w:p>
        </w:tc>
        <w:tc>
          <w:tcPr>
            <w:tcW w:w="640" w:type="dxa"/>
          </w:tcPr>
          <w:p>
            <w:pPr>
              <w:jc w:val="left"/>
              <w:rPr>
                <w:rFonts w:ascii="AdobeSongStd-Light" w:hAnsi="AdobeSongStd-Light" w:eastAsia="AdobeSongStd-Light"/>
                <w:sz w:val="20"/>
              </w:rPr>
            </w:pPr>
            <w:r>
              <w:rPr>
                <w:rFonts w:hint="eastAsia" w:ascii="AdobeSongStd-Light" w:hAnsi="AdobeSongStd-Light" w:eastAsia="AdobeSongStd-Light"/>
                <w:sz w:val="20"/>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1" w:type="dxa"/>
          </w:tcPr>
          <w:p>
            <w:pPr>
              <w:jc w:val="left"/>
              <w:rPr>
                <w:rFonts w:ascii="宋体" w:hAnsi="宋体"/>
                <w:color w:val="0D0D0D"/>
              </w:rPr>
            </w:pPr>
            <w:r>
              <w:rPr>
                <w:rFonts w:hint="eastAsia" w:ascii="宋体" w:hAnsi="宋体"/>
                <w:color w:val="0D0D0D"/>
              </w:rPr>
              <w:t>实用新型专利</w:t>
            </w:r>
          </w:p>
        </w:tc>
        <w:tc>
          <w:tcPr>
            <w:tcW w:w="2205" w:type="dxa"/>
          </w:tcPr>
          <w:p>
            <w:pPr>
              <w:jc w:val="left"/>
              <w:rPr>
                <w:rFonts w:ascii="宋体" w:hAnsi="宋体"/>
                <w:color w:val="0D0D0D"/>
              </w:rPr>
            </w:pPr>
            <w:r>
              <w:rPr>
                <w:rFonts w:hint="eastAsia" w:ascii="宋体" w:hAnsi="宋体"/>
                <w:color w:val="0D0D0D"/>
              </w:rPr>
              <w:t>一种前置螺纹可降解纯镁螺钉</w:t>
            </w:r>
          </w:p>
        </w:tc>
        <w:tc>
          <w:tcPr>
            <w:tcW w:w="945" w:type="dxa"/>
          </w:tcPr>
          <w:p>
            <w:pPr>
              <w:jc w:val="left"/>
              <w:rPr>
                <w:rFonts w:ascii="宋体" w:hAnsi="宋体"/>
                <w:color w:val="0D0D0D"/>
              </w:rPr>
            </w:pPr>
            <w:r>
              <w:rPr>
                <w:rFonts w:hint="eastAsia" w:ascii="宋体" w:hAnsi="宋体"/>
                <w:color w:val="0D0D0D"/>
              </w:rPr>
              <w:t>中国</w:t>
            </w:r>
          </w:p>
        </w:tc>
        <w:tc>
          <w:tcPr>
            <w:tcW w:w="1245" w:type="dxa"/>
          </w:tcPr>
          <w:p>
            <w:pPr>
              <w:jc w:val="left"/>
              <w:rPr>
                <w:rFonts w:ascii="宋体" w:hAnsi="宋体"/>
                <w:color w:val="0D0D0D"/>
              </w:rPr>
            </w:pPr>
            <w:r>
              <w:rPr>
                <w:rFonts w:hint="eastAsia" w:ascii="宋体" w:hAnsi="宋体"/>
                <w:color w:val="0D0D0D"/>
              </w:rPr>
              <w:t>ZL201420475383.3</w:t>
            </w:r>
          </w:p>
        </w:tc>
        <w:tc>
          <w:tcPr>
            <w:tcW w:w="735" w:type="dxa"/>
          </w:tcPr>
          <w:p>
            <w:pPr>
              <w:jc w:val="left"/>
              <w:rPr>
                <w:rFonts w:ascii="宋体" w:hAnsi="宋体"/>
                <w:color w:val="0D0D0D"/>
              </w:rPr>
            </w:pPr>
            <w:r>
              <w:rPr>
                <w:rFonts w:hint="eastAsia" w:ascii="宋体" w:hAnsi="宋体"/>
                <w:color w:val="0D0D0D"/>
              </w:rPr>
              <w:t>2014-12-10</w:t>
            </w:r>
          </w:p>
        </w:tc>
        <w:tc>
          <w:tcPr>
            <w:tcW w:w="1215" w:type="dxa"/>
          </w:tcPr>
          <w:p>
            <w:pPr>
              <w:jc w:val="left"/>
              <w:rPr>
                <w:rFonts w:ascii="宋体" w:hAnsi="宋体"/>
                <w:color w:val="0D0D0D"/>
              </w:rPr>
            </w:pPr>
            <w:r>
              <w:rPr>
                <w:rFonts w:hint="eastAsia" w:ascii="宋体" w:hAnsi="宋体"/>
                <w:color w:val="0D0D0D"/>
              </w:rPr>
              <w:t>3975411</w:t>
            </w:r>
          </w:p>
        </w:tc>
        <w:tc>
          <w:tcPr>
            <w:tcW w:w="840" w:type="dxa"/>
          </w:tcPr>
          <w:p>
            <w:pPr>
              <w:jc w:val="left"/>
              <w:rPr>
                <w:rFonts w:ascii="宋体" w:hAnsi="宋体"/>
                <w:color w:val="0D0D0D"/>
              </w:rPr>
            </w:pPr>
            <w:r>
              <w:rPr>
                <w:rFonts w:hint="eastAsia" w:ascii="宋体" w:hAnsi="宋体"/>
                <w:color w:val="0D0D0D"/>
              </w:rPr>
              <w:t>赵德伟</w:t>
            </w:r>
          </w:p>
        </w:tc>
        <w:tc>
          <w:tcPr>
            <w:tcW w:w="330" w:type="dxa"/>
          </w:tcPr>
          <w:p>
            <w:pPr>
              <w:jc w:val="left"/>
              <w:rPr>
                <w:rFonts w:ascii="宋体" w:hAnsi="宋体"/>
                <w:color w:val="0D0D0D"/>
              </w:rPr>
            </w:pPr>
            <w:r>
              <w:rPr>
                <w:rFonts w:hint="eastAsia" w:ascii="宋体" w:hAnsi="宋体"/>
                <w:color w:val="0D0D0D"/>
              </w:rPr>
              <w:t>赵德伟</w:t>
            </w:r>
          </w:p>
        </w:tc>
        <w:tc>
          <w:tcPr>
            <w:tcW w:w="640" w:type="dxa"/>
          </w:tcPr>
          <w:p>
            <w:pPr>
              <w:jc w:val="left"/>
              <w:rPr>
                <w:rFonts w:ascii="宋体" w:hAnsi="宋体"/>
                <w:color w:val="0D0D0D"/>
              </w:rPr>
            </w:pPr>
            <w:r>
              <w:rPr>
                <w:rFonts w:hint="eastAsia" w:ascii="宋体" w:hAnsi="宋体"/>
                <w:color w:val="0D0D0D"/>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1" w:type="dxa"/>
          </w:tcPr>
          <w:p>
            <w:pPr>
              <w:pStyle w:val="5"/>
              <w:spacing w:line="390" w:lineRule="exact"/>
              <w:ind w:firstLine="0" w:firstLineChars="0"/>
              <w:rPr>
                <w:rFonts w:ascii="宋体" w:hAnsi="宋体"/>
                <w:color w:val="0D0D0D"/>
              </w:rPr>
            </w:pPr>
          </w:p>
        </w:tc>
        <w:tc>
          <w:tcPr>
            <w:tcW w:w="2205" w:type="dxa"/>
          </w:tcPr>
          <w:p>
            <w:pPr>
              <w:pStyle w:val="5"/>
              <w:spacing w:line="390" w:lineRule="exact"/>
              <w:ind w:firstLine="0" w:firstLineChars="0"/>
              <w:rPr>
                <w:rFonts w:ascii="宋体" w:hAnsi="宋体"/>
                <w:color w:val="0D0D0D"/>
              </w:rPr>
            </w:pPr>
          </w:p>
        </w:tc>
        <w:tc>
          <w:tcPr>
            <w:tcW w:w="945" w:type="dxa"/>
          </w:tcPr>
          <w:p>
            <w:pPr>
              <w:pStyle w:val="5"/>
              <w:spacing w:line="390" w:lineRule="exact"/>
              <w:ind w:firstLine="0" w:firstLineChars="0"/>
              <w:rPr>
                <w:rFonts w:ascii="宋体" w:hAnsi="宋体"/>
                <w:color w:val="0D0D0D"/>
              </w:rPr>
            </w:pPr>
          </w:p>
        </w:tc>
        <w:tc>
          <w:tcPr>
            <w:tcW w:w="1245" w:type="dxa"/>
          </w:tcPr>
          <w:p>
            <w:pPr>
              <w:pStyle w:val="5"/>
              <w:spacing w:line="390" w:lineRule="exact"/>
              <w:ind w:firstLine="0" w:firstLineChars="0"/>
              <w:rPr>
                <w:rFonts w:ascii="宋体" w:hAnsi="宋体"/>
                <w:color w:val="0D0D0D"/>
              </w:rPr>
            </w:pPr>
          </w:p>
        </w:tc>
        <w:tc>
          <w:tcPr>
            <w:tcW w:w="735" w:type="dxa"/>
          </w:tcPr>
          <w:p>
            <w:pPr>
              <w:pStyle w:val="5"/>
              <w:spacing w:line="390" w:lineRule="exact"/>
              <w:ind w:firstLine="0" w:firstLineChars="0"/>
              <w:rPr>
                <w:rFonts w:ascii="宋体" w:hAnsi="宋体"/>
                <w:color w:val="0D0D0D"/>
              </w:rPr>
            </w:pPr>
          </w:p>
        </w:tc>
        <w:tc>
          <w:tcPr>
            <w:tcW w:w="1215" w:type="dxa"/>
          </w:tcPr>
          <w:p>
            <w:pPr>
              <w:pStyle w:val="5"/>
              <w:spacing w:line="390" w:lineRule="exact"/>
              <w:ind w:firstLine="0" w:firstLineChars="0"/>
              <w:rPr>
                <w:rFonts w:ascii="宋体" w:hAnsi="宋体"/>
                <w:color w:val="0D0D0D"/>
              </w:rPr>
            </w:pPr>
          </w:p>
        </w:tc>
        <w:tc>
          <w:tcPr>
            <w:tcW w:w="840" w:type="dxa"/>
          </w:tcPr>
          <w:p>
            <w:pPr>
              <w:pStyle w:val="5"/>
              <w:spacing w:line="390" w:lineRule="exact"/>
              <w:ind w:firstLine="0" w:firstLineChars="0"/>
              <w:rPr>
                <w:rFonts w:ascii="宋体" w:hAnsi="宋体"/>
                <w:color w:val="0D0D0D"/>
              </w:rPr>
            </w:pPr>
          </w:p>
        </w:tc>
        <w:tc>
          <w:tcPr>
            <w:tcW w:w="330" w:type="dxa"/>
          </w:tcPr>
          <w:p>
            <w:pPr>
              <w:pStyle w:val="5"/>
              <w:spacing w:line="390" w:lineRule="exact"/>
              <w:ind w:firstLine="0" w:firstLineChars="0"/>
              <w:rPr>
                <w:rFonts w:ascii="宋体" w:hAnsi="宋体"/>
                <w:color w:val="0D0D0D"/>
              </w:rPr>
            </w:pPr>
          </w:p>
        </w:tc>
        <w:tc>
          <w:tcPr>
            <w:tcW w:w="640" w:type="dxa"/>
          </w:tcPr>
          <w:p>
            <w:pPr>
              <w:pStyle w:val="5"/>
              <w:spacing w:line="390" w:lineRule="exact"/>
              <w:ind w:firstLine="0" w:firstLineChars="0"/>
              <w:rPr>
                <w:rFonts w:ascii="宋体" w:hAnsi="宋体"/>
                <w:color w:val="0D0D0D"/>
              </w:rPr>
            </w:pPr>
          </w:p>
        </w:tc>
      </w:tr>
    </w:tbl>
    <w:p>
      <w:pPr>
        <w:pStyle w:val="5"/>
        <w:adjustRightInd w:val="0"/>
        <w:spacing w:line="320" w:lineRule="exact"/>
        <w:ind w:firstLine="519"/>
        <w:rPr>
          <w:rFonts w:ascii="宋体" w:hAnsi="宋体"/>
          <w:b/>
          <w:bCs/>
          <w:color w:val="0D0D0D"/>
          <w:szCs w:val="28"/>
        </w:rPr>
      </w:pPr>
    </w:p>
    <w:p>
      <w:pPr>
        <w:pStyle w:val="14"/>
        <w:ind w:firstLine="0" w:firstLineChars="0"/>
        <w:jc w:val="center"/>
        <w:outlineLvl w:val="1"/>
        <w:rPr>
          <w:rFonts w:ascii="宋体" w:hAnsi="宋体"/>
          <w:b/>
          <w:color w:val="0D0D0D"/>
          <w:sz w:val="28"/>
        </w:rPr>
      </w:pPr>
      <w:r>
        <w:rPr>
          <w:rFonts w:ascii="宋体" w:hAnsi="宋体"/>
          <w:color w:val="0D0D0D"/>
          <w:sz w:val="28"/>
        </w:rPr>
        <w:br w:type="page"/>
      </w:r>
      <w:bookmarkStart w:id="2" w:name="OLE_LINK3"/>
      <w:r>
        <w:rPr>
          <w:rFonts w:hint="eastAsia" w:ascii="宋体" w:hAnsi="宋体"/>
          <w:b/>
          <w:color w:val="0D0D0D"/>
          <w:sz w:val="28"/>
        </w:rPr>
        <w:t>八</w:t>
      </w:r>
      <w:r>
        <w:rPr>
          <w:rFonts w:ascii="宋体" w:hAnsi="宋体"/>
          <w:b/>
          <w:color w:val="0D0D0D"/>
          <w:sz w:val="28"/>
        </w:rPr>
        <w:t>、</w:t>
      </w:r>
      <w:r>
        <w:rPr>
          <w:rFonts w:hint="eastAsia" w:ascii="宋体" w:hAnsi="宋体"/>
          <w:b/>
          <w:color w:val="0D0D0D"/>
          <w:sz w:val="28"/>
        </w:rPr>
        <w:t>主要完成人</w:t>
      </w:r>
      <w:r>
        <w:rPr>
          <w:rFonts w:ascii="宋体" w:hAnsi="宋体"/>
          <w:b/>
          <w:color w:val="0D0D0D"/>
          <w:sz w:val="28"/>
        </w:rPr>
        <w:t>情况表</w:t>
      </w:r>
    </w:p>
    <w:bookmarkEnd w:id="2"/>
    <w:tbl>
      <w:tblPr>
        <w:tblStyle w:val="13"/>
        <w:tblW w:w="10935" w:type="dxa"/>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570"/>
        <w:gridCol w:w="1500"/>
        <w:gridCol w:w="1216"/>
        <w:gridCol w:w="2084"/>
        <w:gridCol w:w="1579"/>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姓名</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排名</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行政职务</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技术职称</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工作单位</w:t>
            </w:r>
          </w:p>
        </w:tc>
        <w:tc>
          <w:tcPr>
            <w:tcW w:w="1579" w:type="dxa"/>
          </w:tcPr>
          <w:p>
            <w:pPr>
              <w:pStyle w:val="5"/>
              <w:ind w:firstLine="0" w:firstLineChars="0"/>
              <w:outlineLvl w:val="1"/>
              <w:rPr>
                <w:rFonts w:ascii="宋体" w:hAnsi="宋体"/>
                <w:color w:val="0D0D0D"/>
                <w:szCs w:val="24"/>
              </w:rPr>
            </w:pPr>
            <w:r>
              <w:rPr>
                <w:rFonts w:hint="eastAsia" w:ascii="宋体" w:hAnsi="宋体"/>
                <w:color w:val="0D0D0D"/>
                <w:szCs w:val="24"/>
              </w:rPr>
              <w:t>完成单位</w:t>
            </w:r>
          </w:p>
        </w:tc>
        <w:tc>
          <w:tcPr>
            <w:tcW w:w="3045" w:type="dxa"/>
          </w:tcPr>
          <w:p>
            <w:pPr>
              <w:pStyle w:val="5"/>
              <w:ind w:firstLine="0" w:firstLineChars="0"/>
              <w:outlineLvl w:val="1"/>
              <w:rPr>
                <w:rFonts w:ascii="宋体" w:hAnsi="宋体"/>
                <w:color w:val="0D0D0D"/>
                <w:szCs w:val="24"/>
              </w:rPr>
            </w:pPr>
            <w:r>
              <w:rPr>
                <w:rFonts w:hint="eastAsia" w:ascii="宋体" w:hAnsi="宋体"/>
                <w:color w:val="0D0D0D"/>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赵德伟</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1</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院长</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pStyle w:val="5"/>
              <w:spacing w:line="240" w:lineRule="auto"/>
              <w:ind w:firstLine="420"/>
              <w:rPr>
                <w:rFonts w:ascii="宋体" w:hAnsi="宋体"/>
                <w:sz w:val="21"/>
              </w:rPr>
            </w:pPr>
            <w:r>
              <w:rPr>
                <w:rFonts w:hint="eastAsia" w:ascii="宋体" w:hAnsi="宋体"/>
                <w:sz w:val="21"/>
              </w:rPr>
              <w:t>项目整体组织者</w:t>
            </w:r>
          </w:p>
          <w:p>
            <w:pPr>
              <w:pStyle w:val="5"/>
              <w:spacing w:line="240" w:lineRule="auto"/>
              <w:ind w:firstLine="420"/>
              <w:rPr>
                <w:rFonts w:ascii="宋体" w:hAnsi="宋体"/>
                <w:sz w:val="21"/>
              </w:rPr>
            </w:pPr>
            <w:r>
              <w:rPr>
                <w:rFonts w:hint="eastAsia" w:ascii="宋体" w:hAnsi="宋体"/>
                <w:sz w:val="21"/>
              </w:rPr>
              <w:t>创新点1:骨坏死流行病学</w:t>
            </w:r>
            <w:r>
              <w:rPr>
                <w:rFonts w:hint="eastAsia" w:ascii="宋体" w:hAnsi="宋体"/>
                <w:sz w:val="21"/>
                <w:lang w:eastAsia="zh-CN"/>
              </w:rPr>
              <w:t>调查研究</w:t>
            </w:r>
          </w:p>
          <w:p>
            <w:pPr>
              <w:pStyle w:val="5"/>
              <w:spacing w:line="240" w:lineRule="auto"/>
              <w:ind w:firstLine="420"/>
              <w:rPr>
                <w:rFonts w:ascii="宋体" w:hAnsi="宋体"/>
                <w:sz w:val="21"/>
              </w:rPr>
            </w:pPr>
            <w:r>
              <w:rPr>
                <w:rFonts w:hint="eastAsia" w:ascii="宋体" w:hAnsi="宋体"/>
                <w:sz w:val="21"/>
              </w:rPr>
              <w:t>创新点3：首次提出骨坏死静脉淤滞期进行髓芯减压有效的理论，</w:t>
            </w:r>
            <w:r>
              <w:rPr>
                <w:rFonts w:hint="eastAsia" w:ascii="宋体" w:hAnsi="宋体"/>
                <w:sz w:val="21"/>
                <w:szCs w:val="22"/>
              </w:rPr>
              <w:t>创建并应用了多种基于骨髓基质干细胞治疗股骨头坏死的方法</w:t>
            </w:r>
            <w:r>
              <w:rPr>
                <w:rFonts w:hint="eastAsia" w:ascii="宋体" w:hAnsi="宋体"/>
                <w:sz w:val="21"/>
                <w:szCs w:val="22"/>
                <w:lang w:eastAsia="zh-CN"/>
              </w:rPr>
              <w:t>。</w:t>
            </w:r>
          </w:p>
          <w:p>
            <w:pPr>
              <w:pStyle w:val="5"/>
              <w:spacing w:line="240" w:lineRule="auto"/>
              <w:ind w:firstLine="420"/>
              <w:rPr>
                <w:rFonts w:ascii="宋体" w:hAnsi="宋体"/>
                <w:sz w:val="21"/>
              </w:rPr>
            </w:pPr>
            <w:r>
              <w:rPr>
                <w:rFonts w:hint="eastAsia" w:ascii="宋体" w:hAnsi="宋体"/>
                <w:sz w:val="21"/>
              </w:rPr>
              <w:t>创新点4:组织领域内专家，规范骨坏死治疗，原创提出显微修复再造坏死股骨头坏死的理论，建立多种带血运骨瓣转移重建股骨头的技术。</w:t>
            </w:r>
          </w:p>
          <w:p>
            <w:r>
              <w:rPr>
                <w:rFonts w:hint="eastAsia" w:ascii="宋体" w:hAnsi="宋体"/>
              </w:rPr>
              <w:t>创新点5:可降解镁金属材料</w:t>
            </w:r>
            <w:r>
              <w:rPr>
                <w:rFonts w:hint="eastAsia" w:ascii="宋体" w:hAnsi="宋体"/>
                <w:lang w:eastAsia="zh-CN"/>
              </w:rPr>
              <w:t>在股骨头坏死治疗中</w:t>
            </w:r>
            <w:r>
              <w:rPr>
                <w:rFonts w:hint="eastAsia" w:ascii="宋体" w:hAnsi="宋体"/>
              </w:rPr>
              <w:t>的临床应用。</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李子荣</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2</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首席专家</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中日友好医院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中日友好医院</w:t>
            </w:r>
          </w:p>
        </w:tc>
        <w:tc>
          <w:tcPr>
            <w:tcW w:w="3045" w:type="dxa"/>
          </w:tcPr>
          <w:p>
            <w:pPr>
              <w:ind w:firstLine="420"/>
              <w:rPr>
                <w:rFonts w:ascii="宋体" w:hAnsi="宋体"/>
              </w:rPr>
            </w:pPr>
            <w:r>
              <w:rPr>
                <w:rFonts w:hint="eastAsia" w:ascii="宋体" w:hAnsi="宋体"/>
              </w:rPr>
              <w:t>创新点1:</w:t>
            </w:r>
            <w:r>
              <w:rPr>
                <w:rFonts w:hint="eastAsia" w:ascii="宋体" w:hAnsi="宋体"/>
                <w:color w:val="0D0D0D"/>
              </w:rPr>
              <w:t>对激素性骨坏死高危人群的筛选、检测及有效干预进行了系统研究。</w:t>
            </w:r>
          </w:p>
          <w:p>
            <w:pPr>
              <w:ind w:firstLine="420"/>
              <w:rPr>
                <w:rFonts w:ascii="宋体" w:hAnsi="宋体"/>
              </w:rPr>
            </w:pPr>
            <w:r>
              <w:rPr>
                <w:rFonts w:hint="eastAsia" w:ascii="宋体" w:hAnsi="宋体"/>
              </w:rPr>
              <w:t>创新点3：早期骨坏死的BMSCs治疗。</w:t>
            </w:r>
          </w:p>
          <w:p>
            <w:pPr>
              <w:ind w:firstLine="420" w:firstLineChars="200"/>
              <w:rPr>
                <w:rFonts w:ascii="宋体" w:hAnsi="宋体"/>
              </w:rPr>
            </w:pPr>
            <w:r>
              <w:rPr>
                <w:rFonts w:hint="eastAsia" w:ascii="宋体" w:hAnsi="宋体"/>
              </w:rPr>
              <w:t>创新点4:骨坏死的分型分期，骨坏死指南的建立。中晚期骨坏死的保髋治疗。</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秦岭</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3</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实验室主任</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教授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香港中文大学</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香港中文大学</w:t>
            </w:r>
          </w:p>
        </w:tc>
        <w:tc>
          <w:tcPr>
            <w:tcW w:w="3045" w:type="dxa"/>
          </w:tcPr>
          <w:p>
            <w:pPr>
              <w:pStyle w:val="5"/>
              <w:spacing w:line="240" w:lineRule="auto"/>
              <w:ind w:firstLine="420"/>
              <w:rPr>
                <w:rFonts w:ascii="宋体" w:hAnsi="宋体"/>
                <w:sz w:val="21"/>
              </w:rPr>
            </w:pPr>
            <w:r>
              <w:rPr>
                <w:rFonts w:hint="eastAsia" w:ascii="宋体" w:hAnsi="宋体"/>
                <w:sz w:val="21"/>
              </w:rPr>
              <w:t>创新点2:激素性骨坏死模型的建立及骨髓基质干细胞与骨坏死病灶形成的关联。</w:t>
            </w:r>
          </w:p>
          <w:p>
            <w:pPr>
              <w:pStyle w:val="5"/>
              <w:spacing w:line="240" w:lineRule="auto"/>
              <w:ind w:firstLine="420"/>
              <w:rPr>
                <w:rFonts w:ascii="宋体" w:hAnsi="宋体"/>
                <w:sz w:val="21"/>
              </w:rPr>
            </w:pPr>
            <w:r>
              <w:rPr>
                <w:rFonts w:hint="eastAsia" w:ascii="宋体" w:hAnsi="宋体"/>
                <w:sz w:val="21"/>
              </w:rPr>
              <w:t>创新点4:参与骨坏死诊疗指南的建立。</w:t>
            </w:r>
          </w:p>
          <w:p>
            <w:pPr>
              <w:rPr>
                <w:rFonts w:ascii="宋体" w:hAnsi="宋体"/>
                <w:color w:val="0D0D0D"/>
                <w:sz w:val="24"/>
                <w:szCs w:val="24"/>
              </w:rPr>
            </w:pPr>
            <w:r>
              <w:rPr>
                <w:rFonts w:hint="eastAsia" w:ascii="宋体" w:hAnsi="宋体"/>
              </w:rPr>
              <w:t xml:space="preserve">    创新点5:可降解镁金属材料的实验研究及临床应用推广。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王本杰</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4</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关节科副主任</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w:t>
            </w:r>
            <w:bookmarkStart w:id="4" w:name="_GoBack"/>
            <w:bookmarkEnd w:id="4"/>
            <w:r>
              <w:rPr>
                <w:rFonts w:hint="eastAsia" w:ascii="宋体" w:hAnsi="宋体"/>
                <w:color w:val="0D0D0D"/>
                <w:szCs w:val="24"/>
              </w:rPr>
              <w:t>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pStyle w:val="5"/>
              <w:spacing w:line="240" w:lineRule="auto"/>
              <w:ind w:firstLine="420"/>
              <w:rPr>
                <w:rFonts w:ascii="宋体" w:hAnsi="宋体"/>
                <w:sz w:val="21"/>
              </w:rPr>
            </w:pPr>
            <w:r>
              <w:rPr>
                <w:rFonts w:hint="eastAsia" w:ascii="宋体" w:hAnsi="宋体"/>
                <w:sz w:val="21"/>
              </w:rPr>
              <w:t>创新点1:骨坏死流行病学研究</w:t>
            </w:r>
          </w:p>
          <w:p>
            <w:pPr>
              <w:pStyle w:val="5"/>
              <w:spacing w:line="240" w:lineRule="auto"/>
              <w:ind w:firstLine="420"/>
              <w:rPr>
                <w:rFonts w:ascii="宋体" w:hAnsi="宋体"/>
                <w:sz w:val="21"/>
              </w:rPr>
            </w:pPr>
            <w:r>
              <w:rPr>
                <w:rFonts w:hint="eastAsia" w:ascii="宋体" w:hAnsi="宋体"/>
                <w:sz w:val="21"/>
              </w:rPr>
              <w:t>创新点3：参与应用BMSCs体外培养回植治疗早期股骨头骨坏死。</w:t>
            </w:r>
          </w:p>
          <w:p>
            <w:pPr>
              <w:pStyle w:val="5"/>
              <w:spacing w:line="240" w:lineRule="auto"/>
              <w:ind w:firstLine="420"/>
              <w:rPr>
                <w:rFonts w:ascii="宋体" w:hAnsi="宋体"/>
                <w:sz w:val="21"/>
              </w:rPr>
            </w:pPr>
            <w:r>
              <w:rPr>
                <w:rFonts w:hint="eastAsia" w:ascii="宋体" w:hAnsi="宋体"/>
                <w:sz w:val="21"/>
              </w:rPr>
              <w:t>创新点4:参与应用多种带血运骨瓣转移重建股骨头的技术治疗中晚期骨坏死。</w:t>
            </w:r>
          </w:p>
          <w:p>
            <w:r>
              <w:rPr>
                <w:rFonts w:hint="eastAsia" w:ascii="宋体" w:hAnsi="宋体"/>
              </w:rPr>
              <w:t xml:space="preserve">    创新点5:可降解镁金属材料</w:t>
            </w:r>
            <w:r>
              <w:rPr>
                <w:rFonts w:hint="eastAsia" w:ascii="宋体" w:hAnsi="宋体"/>
                <w:lang w:eastAsia="zh-CN"/>
              </w:rPr>
              <w:t>在股骨头坏死治疗中</w:t>
            </w:r>
            <w:r>
              <w:rPr>
                <w:rFonts w:hint="eastAsia" w:ascii="宋体" w:hAnsi="宋体"/>
              </w:rPr>
              <w:t>的临床应用。</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刘保一</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5</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无</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副主任医师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pStyle w:val="5"/>
              <w:spacing w:line="240" w:lineRule="auto"/>
              <w:ind w:firstLine="420"/>
              <w:rPr>
                <w:rFonts w:ascii="宋体" w:hAnsi="宋体"/>
                <w:sz w:val="21"/>
              </w:rPr>
            </w:pPr>
            <w:r>
              <w:rPr>
                <w:rFonts w:hint="eastAsia" w:ascii="宋体" w:hAnsi="宋体"/>
                <w:sz w:val="21"/>
              </w:rPr>
              <w:t>创新点1:骨坏死流行病学研究</w:t>
            </w:r>
          </w:p>
          <w:p>
            <w:pPr>
              <w:pStyle w:val="5"/>
              <w:spacing w:line="240" w:lineRule="auto"/>
              <w:ind w:firstLine="420"/>
              <w:rPr>
                <w:rFonts w:ascii="宋体" w:hAnsi="宋体"/>
                <w:sz w:val="21"/>
              </w:rPr>
            </w:pPr>
            <w:r>
              <w:rPr>
                <w:rFonts w:hint="eastAsia" w:ascii="宋体" w:hAnsi="宋体"/>
                <w:sz w:val="21"/>
              </w:rPr>
              <w:t>创新点3：参与应用BMSCs体外培养回植治疗早期股骨头骨坏死。</w:t>
            </w:r>
          </w:p>
          <w:p>
            <w:pPr>
              <w:pStyle w:val="5"/>
              <w:spacing w:line="240" w:lineRule="auto"/>
              <w:ind w:firstLine="420"/>
              <w:rPr>
                <w:rFonts w:ascii="宋体" w:hAnsi="宋体"/>
                <w:sz w:val="21"/>
              </w:rPr>
            </w:pPr>
            <w:r>
              <w:rPr>
                <w:rFonts w:hint="eastAsia" w:ascii="宋体" w:hAnsi="宋体"/>
                <w:sz w:val="21"/>
              </w:rPr>
              <w:t>创新点4:参与应用多种带血运骨瓣转移重建股骨头的技术治疗中晚期骨坏死。</w:t>
            </w:r>
          </w:p>
          <w:p>
            <w:r>
              <w:rPr>
                <w:rFonts w:hint="eastAsia" w:ascii="宋体" w:hAnsi="宋体"/>
              </w:rPr>
              <w:t xml:space="preserve">    创新点5:可降解镁金属材料</w:t>
            </w:r>
            <w:r>
              <w:rPr>
                <w:rFonts w:hint="eastAsia" w:ascii="宋体" w:hAnsi="宋体"/>
                <w:lang w:eastAsia="zh-CN"/>
              </w:rPr>
              <w:t>在股骨头坏死治疗中</w:t>
            </w:r>
            <w:r>
              <w:rPr>
                <w:rFonts w:hint="eastAsia" w:ascii="宋体" w:hAnsi="宋体"/>
              </w:rPr>
              <w:t>的临床应用。</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孙伟</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6</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专业组组长</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中日友好医院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中日友好医院</w:t>
            </w:r>
          </w:p>
        </w:tc>
        <w:tc>
          <w:tcPr>
            <w:tcW w:w="3045" w:type="dxa"/>
          </w:tcPr>
          <w:p>
            <w:pPr>
              <w:ind w:firstLine="420"/>
              <w:rPr>
                <w:rFonts w:ascii="宋体" w:hAnsi="宋体"/>
              </w:rPr>
            </w:pPr>
            <w:r>
              <w:rPr>
                <w:rFonts w:hint="eastAsia" w:ascii="宋体" w:hAnsi="宋体"/>
              </w:rPr>
              <w:t>创新点1:</w:t>
            </w:r>
            <w:r>
              <w:rPr>
                <w:rFonts w:hint="eastAsia" w:ascii="宋体" w:hAnsi="宋体"/>
                <w:color w:val="0D0D0D"/>
              </w:rPr>
              <w:t>对激素性骨坏死高危人群的筛选、检测及有效干预进行了系统研究。</w:t>
            </w:r>
          </w:p>
          <w:p>
            <w:pPr>
              <w:ind w:firstLine="420"/>
              <w:rPr>
                <w:rFonts w:ascii="宋体" w:hAnsi="宋体"/>
              </w:rPr>
            </w:pPr>
            <w:r>
              <w:rPr>
                <w:rFonts w:hint="eastAsia" w:ascii="宋体" w:hAnsi="宋体"/>
              </w:rPr>
              <w:t>创新点3：早期骨坏死的BMSCs治疗。</w:t>
            </w:r>
          </w:p>
          <w:p>
            <w:pPr>
              <w:ind w:firstLine="420" w:firstLineChars="200"/>
              <w:rPr>
                <w:rFonts w:ascii="宋体" w:hAnsi="宋体"/>
              </w:rPr>
            </w:pPr>
            <w:r>
              <w:rPr>
                <w:rFonts w:hint="eastAsia" w:ascii="宋体" w:hAnsi="宋体"/>
              </w:rPr>
              <w:t>创新点4:骨坏死的分型分期，骨坏死指南的建立。中晚期骨坏死的保髋治疗。</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王威</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7</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实验室主任</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副主任医师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pStyle w:val="5"/>
              <w:spacing w:line="240" w:lineRule="auto"/>
              <w:ind w:firstLine="420"/>
              <w:rPr>
                <w:rFonts w:ascii="宋体" w:hAnsi="宋体"/>
                <w:sz w:val="21"/>
              </w:rPr>
            </w:pPr>
            <w:r>
              <w:rPr>
                <w:rFonts w:hint="eastAsia" w:ascii="宋体" w:hAnsi="宋体"/>
                <w:sz w:val="21"/>
              </w:rPr>
              <w:t>创新点1:骨坏死流行病学研究</w:t>
            </w:r>
          </w:p>
          <w:p>
            <w:r>
              <w:rPr>
                <w:rFonts w:hint="eastAsia" w:ascii="宋体" w:hAnsi="宋体"/>
              </w:rPr>
              <w:t xml:space="preserve">    创新点5:可降解镁金属材料</w:t>
            </w:r>
            <w:r>
              <w:rPr>
                <w:rFonts w:hint="eastAsia" w:ascii="宋体" w:hAnsi="宋体"/>
                <w:lang w:eastAsia="zh-CN"/>
              </w:rPr>
              <w:t>在股骨头坏死治疗中</w:t>
            </w:r>
            <w:r>
              <w:rPr>
                <w:rFonts w:hint="eastAsia" w:ascii="宋体" w:hAnsi="宋体"/>
              </w:rPr>
              <w:t>的临床应用。</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王佳力</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8</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无</w:t>
            </w:r>
          </w:p>
        </w:tc>
        <w:tc>
          <w:tcPr>
            <w:tcW w:w="1216" w:type="dxa"/>
          </w:tcPr>
          <w:p>
            <w:pPr>
              <w:pStyle w:val="5"/>
              <w:ind w:firstLine="0" w:firstLineChars="0"/>
              <w:outlineLvl w:val="1"/>
              <w:rPr>
                <w:rFonts w:hint="eastAsia" w:ascii="宋体" w:hAnsi="宋体" w:eastAsiaTheme="minorEastAsia"/>
                <w:color w:val="0D0D0D"/>
                <w:szCs w:val="24"/>
                <w:lang w:eastAsia="zh-CN"/>
              </w:rPr>
            </w:pPr>
            <w:r>
              <w:rPr>
                <w:rFonts w:hint="eastAsia" w:ascii="宋体" w:hAnsi="宋体"/>
                <w:color w:val="0D0D0D"/>
                <w:szCs w:val="24"/>
                <w:lang w:eastAsia="zh-CN"/>
              </w:rPr>
              <w:t>助理研究员</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香港中文大学</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香港中文大学</w:t>
            </w:r>
          </w:p>
        </w:tc>
        <w:tc>
          <w:tcPr>
            <w:tcW w:w="3045" w:type="dxa"/>
          </w:tcPr>
          <w:p>
            <w:pPr>
              <w:pStyle w:val="5"/>
              <w:spacing w:line="240" w:lineRule="auto"/>
              <w:ind w:firstLine="420"/>
              <w:rPr>
                <w:rFonts w:ascii="宋体" w:hAnsi="宋体"/>
                <w:sz w:val="21"/>
              </w:rPr>
            </w:pPr>
            <w:r>
              <w:rPr>
                <w:rFonts w:hint="eastAsia" w:ascii="宋体" w:hAnsi="宋体"/>
                <w:sz w:val="21"/>
              </w:rPr>
              <w:t>创新点2:激素性骨坏死模型的建立及骨髓基质干细胞与骨坏死病灶形成的关联。</w:t>
            </w:r>
          </w:p>
          <w:p>
            <w:pPr>
              <w:rPr>
                <w:rFonts w:ascii="宋体" w:hAnsi="宋体"/>
                <w:color w:val="0D0D0D"/>
                <w:sz w:val="24"/>
                <w:szCs w:val="24"/>
              </w:rPr>
            </w:pPr>
            <w:r>
              <w:rPr>
                <w:rFonts w:hint="eastAsia" w:ascii="宋体" w:hAnsi="宋体"/>
              </w:rPr>
              <w:t xml:space="preserve">    创新点5:可降解镁金属材料的实验研究及临床应用推广。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卢发强</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9</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科主任</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ind w:firstLine="420"/>
              <w:rPr>
                <w:rFonts w:ascii="宋体" w:hAnsi="宋体"/>
              </w:rPr>
            </w:pPr>
            <w:r>
              <w:rPr>
                <w:rFonts w:hint="eastAsia" w:ascii="宋体" w:hAnsi="宋体"/>
              </w:rPr>
              <w:t>创新点3：早期骨坏死的BMSCs治疗。</w:t>
            </w:r>
          </w:p>
          <w:p>
            <w:r>
              <w:rPr>
                <w:rFonts w:hint="eastAsia" w:ascii="宋体" w:hAnsi="宋体"/>
              </w:rPr>
              <w:t xml:space="preserve">    创新点5:可降解镁金属材料</w:t>
            </w:r>
            <w:r>
              <w:rPr>
                <w:rFonts w:hint="eastAsia" w:ascii="宋体" w:hAnsi="宋体"/>
                <w:lang w:eastAsia="zh-CN"/>
              </w:rPr>
              <w:t>在股骨头坏死治疗中</w:t>
            </w:r>
            <w:r>
              <w:rPr>
                <w:rFonts w:hint="eastAsia" w:ascii="宋体" w:hAnsi="宋体"/>
              </w:rPr>
              <w:t>的临床应用。</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郭万首</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10</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关节外科主任</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中日友好医院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 w:val="21"/>
              </w:rPr>
              <w:t>中日友好医院</w:t>
            </w:r>
          </w:p>
        </w:tc>
        <w:tc>
          <w:tcPr>
            <w:tcW w:w="3045" w:type="dxa"/>
          </w:tcPr>
          <w:p>
            <w:pPr>
              <w:ind w:firstLine="420"/>
              <w:rPr>
                <w:rFonts w:ascii="宋体" w:hAnsi="宋体"/>
              </w:rPr>
            </w:pPr>
            <w:r>
              <w:rPr>
                <w:rFonts w:hint="eastAsia" w:ascii="宋体" w:hAnsi="宋体"/>
              </w:rPr>
              <w:t>创新点1:</w:t>
            </w:r>
            <w:r>
              <w:rPr>
                <w:rFonts w:hint="eastAsia" w:ascii="宋体" w:hAnsi="宋体"/>
                <w:color w:val="0D0D0D"/>
              </w:rPr>
              <w:t>对激素性骨坏死高危人群的筛选、检测及有效干预进行了系统研究。</w:t>
            </w:r>
            <w:r>
              <w:rPr>
                <w:rFonts w:hint="eastAsia" w:ascii="宋体" w:hAnsi="宋体"/>
              </w:rPr>
              <w:t>。</w:t>
            </w:r>
          </w:p>
          <w:p>
            <w:pPr>
              <w:ind w:firstLine="420"/>
              <w:rPr>
                <w:rFonts w:ascii="宋体" w:hAnsi="宋体"/>
              </w:rPr>
            </w:pPr>
            <w:r>
              <w:rPr>
                <w:rFonts w:hint="eastAsia" w:ascii="宋体" w:hAnsi="宋体"/>
              </w:rPr>
              <w:t>创新点3：早期骨坏死的BMSCs治疗。</w:t>
            </w:r>
          </w:p>
          <w:p>
            <w:pPr>
              <w:ind w:firstLine="420" w:firstLineChars="200"/>
              <w:rPr>
                <w:rFonts w:ascii="宋体" w:hAnsi="宋体"/>
              </w:rPr>
            </w:pPr>
            <w:r>
              <w:rPr>
                <w:rFonts w:hint="eastAsia" w:ascii="宋体" w:hAnsi="宋体"/>
              </w:rPr>
              <w:t>创新点4:骨坏死的分型分期，骨坏死指南的建立。中晚期骨坏死的保髋治疗。</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尉晓蔚</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11</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无</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副研究员</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pStyle w:val="5"/>
              <w:spacing w:line="240" w:lineRule="auto"/>
              <w:ind w:firstLine="420"/>
              <w:rPr>
                <w:rFonts w:ascii="宋体" w:hAnsi="宋体"/>
                <w:sz w:val="21"/>
              </w:rPr>
            </w:pPr>
            <w:r>
              <w:rPr>
                <w:rFonts w:hint="eastAsia" w:ascii="宋体" w:hAnsi="宋体"/>
                <w:sz w:val="21"/>
              </w:rPr>
              <w:t>创新点1:骨坏死流行病学研究</w:t>
            </w:r>
          </w:p>
          <w:p>
            <w:pPr>
              <w:pStyle w:val="5"/>
              <w:spacing w:line="240" w:lineRule="auto"/>
              <w:ind w:firstLine="0" w:firstLineChars="0"/>
              <w:outlineLvl w:val="1"/>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杨磊</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12</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关节科副主任</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rPr>
                <w:rFonts w:ascii="宋体" w:hAnsi="宋体"/>
                <w:sz w:val="21"/>
              </w:rPr>
            </w:pPr>
            <w:r>
              <w:rPr>
                <w:rFonts w:hint="eastAsia" w:ascii="宋体" w:hAnsi="宋体"/>
                <w:sz w:val="21"/>
              </w:rPr>
              <w:t>创新点3：参与应用BMSCs体外培养回植治疗早期股骨头骨坏死。</w:t>
            </w:r>
          </w:p>
          <w:p>
            <w:pPr>
              <w:rPr>
                <w:rFonts w:ascii="宋体" w:hAnsi="宋体"/>
                <w:sz w:val="21"/>
              </w:rPr>
            </w:pPr>
            <w:r>
              <w:rPr>
                <w:rFonts w:hint="eastAsia" w:ascii="宋体" w:hAnsi="宋体"/>
                <w:sz w:val="21"/>
              </w:rPr>
              <w:t>创新点4:参与应用多种带血运骨瓣转移重建股骨头的技术治疗中晚期骨坏死。</w:t>
            </w:r>
          </w:p>
          <w:p>
            <w:pPr>
              <w:rPr>
                <w:rFonts w:ascii="宋体" w:hAnsi="宋体"/>
                <w:color w:val="0D0D0D"/>
                <w:sz w:val="24"/>
                <w:szCs w:val="24"/>
              </w:rPr>
            </w:pPr>
            <w:r>
              <w:rPr>
                <w:rFonts w:hint="eastAsia" w:ascii="宋体" w:hAnsi="宋体"/>
              </w:rPr>
              <w:t xml:space="preserve">    创新点5:可降解镁金属材料</w:t>
            </w:r>
            <w:r>
              <w:rPr>
                <w:rFonts w:hint="eastAsia" w:ascii="宋体" w:hAnsi="宋体"/>
                <w:lang w:eastAsia="zh-CN"/>
              </w:rPr>
              <w:t>在股骨头坏死治疗中</w:t>
            </w:r>
            <w:r>
              <w:rPr>
                <w:rFonts w:hint="eastAsia" w:ascii="宋体" w:hAnsi="宋体"/>
              </w:rPr>
              <w:t>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许建坤</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13</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无</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住院医师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香港中文大学</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香港中文大学</w:t>
            </w:r>
          </w:p>
        </w:tc>
        <w:tc>
          <w:tcPr>
            <w:tcW w:w="3045" w:type="dxa"/>
          </w:tcPr>
          <w:p>
            <w:pPr>
              <w:spacing w:line="390" w:lineRule="exact"/>
              <w:rPr>
                <w:rFonts w:ascii="宋体" w:hAnsi="宋体"/>
                <w:color w:val="0D0D0D"/>
                <w:sz w:val="24"/>
                <w:szCs w:val="24"/>
              </w:rPr>
            </w:pPr>
            <w:r>
              <w:rPr>
                <w:rFonts w:hint="eastAsia" w:ascii="宋体" w:hAnsi="宋体"/>
              </w:rPr>
              <w:t xml:space="preserve">    创新点5:可降解镁金属材料的实验研究及临床应用推广。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王子华</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14</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无</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ind w:firstLine="0" w:firstLineChars="0"/>
              <w:rPr>
                <w:rFonts w:ascii="宋体" w:hAnsi="宋体"/>
              </w:rPr>
            </w:pPr>
            <w:r>
              <w:rPr>
                <w:rFonts w:hint="eastAsia" w:ascii="宋体" w:hAnsi="宋体"/>
              </w:rPr>
              <w:t>创新点4:参与应用多种带血运骨瓣转移重建股骨头的技术治疗中晚期骨坏死。</w:t>
            </w:r>
          </w:p>
          <w:p>
            <w:pPr>
              <w:rPr>
                <w:rFonts w:ascii="宋体" w:hAnsi="宋体"/>
                <w:color w:val="0D0D0D"/>
                <w:sz w:val="24"/>
                <w:szCs w:val="24"/>
              </w:rPr>
            </w:pPr>
            <w:r>
              <w:rPr>
                <w:rFonts w:hint="eastAsia" w:ascii="宋体" w:hAnsi="宋体"/>
              </w:rPr>
              <w:t xml:space="preserve">    创新点5:可降解镁金属材料</w:t>
            </w:r>
            <w:r>
              <w:rPr>
                <w:rFonts w:hint="eastAsia" w:ascii="宋体" w:hAnsi="宋体"/>
                <w:lang w:eastAsia="zh-CN"/>
              </w:rPr>
              <w:t>在股骨头坏死治疗中</w:t>
            </w:r>
            <w:r>
              <w:rPr>
                <w:rFonts w:hint="eastAsia" w:ascii="宋体" w:hAnsi="宋体"/>
              </w:rPr>
              <w:t>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pStyle w:val="5"/>
              <w:ind w:firstLine="0" w:firstLineChars="0"/>
              <w:outlineLvl w:val="1"/>
              <w:rPr>
                <w:rFonts w:ascii="宋体" w:hAnsi="宋体"/>
                <w:color w:val="0D0D0D"/>
                <w:szCs w:val="24"/>
              </w:rPr>
            </w:pPr>
            <w:r>
              <w:rPr>
                <w:rFonts w:hint="eastAsia" w:ascii="宋体" w:hAnsi="宋体"/>
                <w:color w:val="0D0D0D"/>
                <w:szCs w:val="24"/>
              </w:rPr>
              <w:t>邱兴</w:t>
            </w:r>
          </w:p>
        </w:tc>
        <w:tc>
          <w:tcPr>
            <w:tcW w:w="570" w:type="dxa"/>
          </w:tcPr>
          <w:p>
            <w:pPr>
              <w:pStyle w:val="5"/>
              <w:ind w:firstLine="0" w:firstLineChars="0"/>
              <w:outlineLvl w:val="1"/>
              <w:rPr>
                <w:rFonts w:ascii="宋体" w:hAnsi="宋体"/>
                <w:color w:val="0D0D0D"/>
                <w:szCs w:val="24"/>
              </w:rPr>
            </w:pPr>
            <w:r>
              <w:rPr>
                <w:rFonts w:hint="eastAsia" w:ascii="宋体" w:hAnsi="宋体"/>
                <w:color w:val="0D0D0D"/>
                <w:szCs w:val="24"/>
              </w:rPr>
              <w:t>15</w:t>
            </w:r>
          </w:p>
        </w:tc>
        <w:tc>
          <w:tcPr>
            <w:tcW w:w="1500" w:type="dxa"/>
          </w:tcPr>
          <w:p>
            <w:pPr>
              <w:pStyle w:val="5"/>
              <w:ind w:firstLine="0" w:firstLineChars="0"/>
              <w:outlineLvl w:val="1"/>
              <w:rPr>
                <w:rFonts w:ascii="宋体" w:hAnsi="宋体"/>
                <w:color w:val="0D0D0D"/>
                <w:szCs w:val="24"/>
              </w:rPr>
            </w:pPr>
            <w:r>
              <w:rPr>
                <w:rFonts w:hint="eastAsia" w:ascii="宋体" w:hAnsi="宋体"/>
                <w:color w:val="0D0D0D"/>
                <w:szCs w:val="24"/>
              </w:rPr>
              <w:t>无</w:t>
            </w:r>
          </w:p>
        </w:tc>
        <w:tc>
          <w:tcPr>
            <w:tcW w:w="1216" w:type="dxa"/>
          </w:tcPr>
          <w:p>
            <w:pPr>
              <w:pStyle w:val="5"/>
              <w:ind w:firstLine="0" w:firstLineChars="0"/>
              <w:outlineLvl w:val="1"/>
              <w:rPr>
                <w:rFonts w:ascii="宋体" w:hAnsi="宋体"/>
                <w:color w:val="0D0D0D"/>
                <w:szCs w:val="24"/>
              </w:rPr>
            </w:pPr>
            <w:r>
              <w:rPr>
                <w:rFonts w:hint="eastAsia" w:ascii="宋体" w:hAnsi="宋体"/>
                <w:color w:val="0D0D0D"/>
                <w:szCs w:val="24"/>
              </w:rPr>
              <w:t>主治医师</w:t>
            </w:r>
          </w:p>
        </w:tc>
        <w:tc>
          <w:tcPr>
            <w:tcW w:w="2084" w:type="dxa"/>
          </w:tcPr>
          <w:p>
            <w:pPr>
              <w:pStyle w:val="5"/>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1579" w:type="dxa"/>
          </w:tcPr>
          <w:p>
            <w:pPr>
              <w:pStyle w:val="5"/>
              <w:spacing w:line="240" w:lineRule="auto"/>
              <w:ind w:firstLine="0" w:firstLineChars="0"/>
              <w:outlineLvl w:val="1"/>
              <w:rPr>
                <w:rFonts w:ascii="宋体" w:hAnsi="宋体"/>
                <w:color w:val="0D0D0D"/>
                <w:szCs w:val="24"/>
              </w:rPr>
            </w:pPr>
            <w:r>
              <w:rPr>
                <w:rFonts w:hint="eastAsia" w:ascii="宋体" w:hAnsi="宋体"/>
                <w:color w:val="0D0D0D"/>
                <w:szCs w:val="24"/>
              </w:rPr>
              <w:t>大连大学附属中山医院</w:t>
            </w:r>
          </w:p>
        </w:tc>
        <w:tc>
          <w:tcPr>
            <w:tcW w:w="3045" w:type="dxa"/>
          </w:tcPr>
          <w:p>
            <w:pPr>
              <w:rPr>
                <w:rFonts w:ascii="宋体" w:hAnsi="宋体"/>
                <w:sz w:val="21"/>
              </w:rPr>
            </w:pPr>
            <w:r>
              <w:rPr>
                <w:rFonts w:hint="eastAsia" w:ascii="宋体" w:hAnsi="宋体"/>
                <w:sz w:val="21"/>
              </w:rPr>
              <w:t>创新点4:参与应用多种带血运骨瓣转移重建股骨头的技术治疗中晚期骨坏死。</w:t>
            </w:r>
          </w:p>
          <w:p>
            <w:pPr>
              <w:rPr>
                <w:rFonts w:ascii="宋体" w:hAnsi="宋体"/>
                <w:color w:val="0D0D0D"/>
                <w:sz w:val="24"/>
                <w:szCs w:val="24"/>
              </w:rPr>
            </w:pPr>
            <w:r>
              <w:rPr>
                <w:rFonts w:hint="eastAsia" w:ascii="宋体" w:hAnsi="宋体"/>
              </w:rPr>
              <w:t xml:space="preserve">    创新点5:可降解镁金属材料</w:t>
            </w:r>
            <w:r>
              <w:rPr>
                <w:rFonts w:hint="eastAsia" w:ascii="宋体" w:hAnsi="宋体"/>
                <w:lang w:eastAsia="zh-CN"/>
              </w:rPr>
              <w:t>在股骨头坏死治疗中</w:t>
            </w:r>
            <w:r>
              <w:rPr>
                <w:rFonts w:hint="eastAsia" w:ascii="宋体" w:hAnsi="宋体"/>
              </w:rPr>
              <w:t>的临床应用。</w:t>
            </w:r>
          </w:p>
        </w:tc>
      </w:tr>
    </w:tbl>
    <w:p>
      <w:pPr>
        <w:pStyle w:val="5"/>
        <w:ind w:firstLine="0" w:firstLineChars="0"/>
        <w:outlineLvl w:val="1"/>
        <w:rPr>
          <w:rFonts w:ascii="宋体" w:hAnsi="宋体"/>
          <w:b/>
          <w:color w:val="0D0D0D"/>
          <w:sz w:val="28"/>
        </w:rPr>
      </w:pPr>
      <w:r>
        <w:rPr>
          <w:rFonts w:ascii="宋体" w:hAnsi="宋体"/>
          <w:color w:val="0D0D0D"/>
          <w:sz w:val="28"/>
        </w:rPr>
        <w:br w:type="page"/>
      </w:r>
      <w:bookmarkStart w:id="3" w:name="OLE_LINK5"/>
      <w:r>
        <w:rPr>
          <w:rFonts w:hint="eastAsia" w:ascii="宋体" w:hAnsi="宋体"/>
          <w:b/>
          <w:color w:val="0D0D0D"/>
          <w:sz w:val="28"/>
        </w:rPr>
        <w:t>九</w:t>
      </w:r>
      <w:r>
        <w:rPr>
          <w:rFonts w:ascii="宋体" w:hAnsi="宋体"/>
          <w:b/>
          <w:color w:val="0D0D0D"/>
          <w:sz w:val="28"/>
        </w:rPr>
        <w:t>、</w:t>
      </w:r>
      <w:r>
        <w:rPr>
          <w:rFonts w:hint="eastAsia" w:ascii="宋体" w:hAnsi="宋体"/>
          <w:b/>
          <w:color w:val="0D0D0D"/>
          <w:sz w:val="28"/>
        </w:rPr>
        <w:t>主要完成单位</w:t>
      </w:r>
      <w:r>
        <w:rPr>
          <w:rFonts w:ascii="宋体" w:hAnsi="宋体"/>
          <w:b/>
          <w:color w:val="0D0D0D"/>
          <w:sz w:val="28"/>
        </w:rPr>
        <w:t>情况表</w:t>
      </w:r>
    </w:p>
    <w:tbl>
      <w:tblPr>
        <w:tblStyle w:val="12"/>
        <w:tblW w:w="9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566"/>
        <w:gridCol w:w="2566"/>
        <w:gridCol w:w="25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单位名称</w:t>
            </w:r>
          </w:p>
        </w:tc>
        <w:tc>
          <w:tcPr>
            <w:tcW w:w="2566" w:type="dxa"/>
            <w:vAlign w:val="center"/>
          </w:tcPr>
          <w:p>
            <w:pPr>
              <w:spacing w:line="360" w:lineRule="exact"/>
              <w:rPr>
                <w:rFonts w:ascii="宋体" w:hAnsi="宋体"/>
                <w:color w:val="0D0D0D"/>
              </w:rPr>
            </w:pPr>
            <w:r>
              <w:rPr>
                <w:rFonts w:hint="eastAsia" w:ascii="宋体" w:hAnsi="宋体"/>
                <w:color w:val="0D0D0D"/>
              </w:rPr>
              <w:t>大连大学附属中山医院</w:t>
            </w:r>
          </w:p>
        </w:tc>
        <w:tc>
          <w:tcPr>
            <w:tcW w:w="2566" w:type="dxa"/>
            <w:vAlign w:val="center"/>
          </w:tcPr>
          <w:p>
            <w:pPr>
              <w:spacing w:line="360" w:lineRule="exact"/>
              <w:rPr>
                <w:rFonts w:ascii="宋体" w:hAnsi="宋体"/>
                <w:color w:val="0D0D0D"/>
              </w:rPr>
            </w:pPr>
            <w:r>
              <w:rPr>
                <w:rFonts w:ascii="宋体" w:hAnsi="宋体"/>
                <w:color w:val="0D0D0D"/>
              </w:rPr>
              <w:t>排    名</w:t>
            </w:r>
          </w:p>
        </w:tc>
        <w:tc>
          <w:tcPr>
            <w:tcW w:w="2568" w:type="dxa"/>
            <w:vAlign w:val="center"/>
          </w:tcPr>
          <w:p>
            <w:pPr>
              <w:spacing w:line="360" w:lineRule="exact"/>
              <w:rPr>
                <w:rFonts w:ascii="宋体" w:hAnsi="宋体"/>
                <w:color w:val="0D0D0D"/>
              </w:rPr>
            </w:pPr>
            <w:r>
              <w:rPr>
                <w:rFonts w:hint="eastAsia" w:ascii="宋体" w:hAnsi="宋体"/>
                <w:color w:val="0D0D0D"/>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211" w:type="dxa"/>
            <w:gridSpan w:val="4"/>
          </w:tcPr>
          <w:p>
            <w:pPr>
              <w:spacing w:line="360" w:lineRule="exact"/>
              <w:rPr>
                <w:rFonts w:ascii="宋体" w:hAnsi="宋体"/>
                <w:color w:val="0D0D0D"/>
                <w:sz w:val="25"/>
              </w:rPr>
            </w:pPr>
            <w:r>
              <w:rPr>
                <w:rFonts w:ascii="宋体" w:hAnsi="宋体"/>
                <w:color w:val="0D0D0D"/>
              </w:rPr>
              <w:t>对本项目科技创新和</w:t>
            </w:r>
            <w:r>
              <w:rPr>
                <w:rFonts w:hint="eastAsia" w:ascii="宋体" w:hAnsi="宋体"/>
                <w:color w:val="0D0D0D"/>
              </w:rPr>
              <w:t>推广</w:t>
            </w:r>
            <w:r>
              <w:rPr>
                <w:rFonts w:ascii="宋体" w:hAnsi="宋体"/>
                <w:color w:val="0D0D0D"/>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6" w:hRule="atLeast"/>
          <w:jc w:val="center"/>
        </w:trPr>
        <w:tc>
          <w:tcPr>
            <w:tcW w:w="9211" w:type="dxa"/>
            <w:gridSpan w:val="4"/>
          </w:tcPr>
          <w:p>
            <w:pPr>
              <w:pStyle w:val="5"/>
              <w:spacing w:line="390" w:lineRule="exact"/>
              <w:ind w:firstLine="420"/>
              <w:rPr>
                <w:rFonts w:ascii="宋体" w:hAnsi="宋体"/>
                <w:color w:val="0D0D0D"/>
                <w:sz w:val="21"/>
              </w:rPr>
            </w:pP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 xml:space="preserve">    我院赵德伟教授牵头组建的团队，从解剖、病理、影像、生理及分子生物学等基础研究出发，针对股骨头坏死的模型建立、发病机制、影像学表现等方面进行了深入探讨，取得了一系列创新的研究成果；</w:t>
            </w: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基于基础研究工作，针对股骨头坏死的不同分期，建立了股骨头保头治疗的系列技术，包括开发应用干细胞体外培养回植技术治疗早期股骨头坏死；原创应用带血运骨瓣转移技术治疗中期骨坏死；联合髋周多个带血运骨瓣转移重建中晚期骨坏死的系列治疗策略，使年轻的股骨头坏死患者保留股骨头成为可能。因赵德伟教授在该领域的杰出工作，2009年被中华慈善总会评为“健行天下项目”股骨头坏死委员会首席专家。</w:t>
            </w: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 xml:space="preserve">    作为专业组织领域的负责人，项目团队整合国内的骨坏死方面知名专家，基于基础及临床研究的成果，建立了股骨头坏死中国分期分型的体系，为股骨头坏死的诊断治疗标准的确立做出贡献。项目组的创新技术已在全国范围内推广应用，并取得了良好的社会效益与经济效益。</w:t>
            </w: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 xml:space="preserve">   大连大学附属中山医院在项目的整个研究过程中，在人力、物力、财力及研究场所上都给予了大力支持，保证了项目的顺利实施。在项目推广过程中，完成单位支持项目团队以召开学术会议，举办学习班，手术示教演示等多种方式进行项目的推广，取得了较好的社会效益。</w:t>
            </w:r>
          </w:p>
          <w:p>
            <w:pPr>
              <w:pStyle w:val="5"/>
              <w:spacing w:line="390" w:lineRule="exact"/>
              <w:ind w:firstLine="420"/>
              <w:rPr>
                <w:rFonts w:ascii="宋体" w:hAnsi="宋体"/>
                <w:color w:val="0D0D0D"/>
                <w:sz w:val="21"/>
              </w:rPr>
            </w:pPr>
          </w:p>
          <w:p>
            <w:pPr>
              <w:spacing w:line="600" w:lineRule="exact"/>
              <w:jc w:val="center"/>
              <w:rPr>
                <w:rFonts w:ascii="宋体" w:hAnsi="宋体"/>
                <w:color w:val="0D0D0D"/>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1" w:type="dxa"/>
            <w:gridSpan w:val="4"/>
          </w:tcPr>
          <w:p>
            <w:pPr>
              <w:pStyle w:val="7"/>
              <w:ind w:firstLine="454"/>
              <w:rPr>
                <w:rFonts w:ascii="宋体" w:hAnsi="宋体"/>
                <w:color w:val="0D0D0D"/>
                <w:szCs w:val="24"/>
              </w:rPr>
            </w:pPr>
            <w:r>
              <w:rPr>
                <w:rFonts w:hint="eastAsia"/>
                <w:b/>
                <w:bCs/>
                <w:color w:val="0D0D0D"/>
              </w:rPr>
              <w:t>声明</w:t>
            </w:r>
            <w:r>
              <w:rPr>
                <w:rFonts w:hint="eastAsia"/>
                <w:color w:val="0D0D0D"/>
              </w:rPr>
              <w:t>：</w:t>
            </w:r>
            <w:r>
              <w:rPr>
                <w:rFonts w:hint="eastAsia" w:ascii="宋体" w:hAnsi="宋体"/>
                <w:color w:val="0D0D0D"/>
                <w:szCs w:val="24"/>
              </w:rPr>
              <w:t>本单位同意完成单位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7"/>
              <w:rPr>
                <w:rFonts w:ascii="宋体" w:hAnsi="宋体"/>
                <w:color w:val="0D0D0D"/>
                <w:szCs w:val="24"/>
              </w:rPr>
            </w:pPr>
          </w:p>
          <w:p>
            <w:pPr>
              <w:pStyle w:val="7"/>
              <w:rPr>
                <w:rFonts w:ascii="宋体" w:hAnsi="宋体"/>
                <w:color w:val="0D0D0D"/>
              </w:rPr>
            </w:pPr>
          </w:p>
          <w:p>
            <w:pPr>
              <w:pStyle w:val="7"/>
              <w:rPr>
                <w:color w:val="0D0D0D"/>
              </w:rPr>
            </w:pPr>
            <w:r>
              <w:rPr>
                <w:rFonts w:hint="eastAsia"/>
                <w:color w:val="0D0D0D"/>
              </w:rPr>
              <w:t>法定代表人签名：</w:t>
            </w:r>
            <w:r>
              <w:rPr>
                <w:color w:val="0D0D0D"/>
              </w:rPr>
              <w:t xml:space="preserve">                  </w:t>
            </w:r>
            <w:r>
              <w:rPr>
                <w:rFonts w:hint="eastAsia"/>
                <w:color w:val="0D0D0D"/>
              </w:rPr>
              <w:t xml:space="preserve">                 </w:t>
            </w:r>
            <w:r>
              <w:rPr>
                <w:color w:val="0D0D0D"/>
              </w:rPr>
              <w:t>单位</w:t>
            </w:r>
            <w:r>
              <w:rPr>
                <w:rFonts w:hint="eastAsia"/>
                <w:color w:val="0D0D0D"/>
              </w:rPr>
              <w:t>（盖章）</w:t>
            </w:r>
          </w:p>
          <w:p>
            <w:pPr>
              <w:pStyle w:val="7"/>
              <w:rPr>
                <w:color w:val="0D0D0D"/>
              </w:rPr>
            </w:pPr>
          </w:p>
          <w:p>
            <w:pPr>
              <w:pStyle w:val="7"/>
              <w:rPr>
                <w:color w:val="0D0D0D"/>
              </w:rPr>
            </w:pPr>
            <w:r>
              <w:rPr>
                <w:rFonts w:hint="eastAsia"/>
                <w:color w:val="0D0D0D"/>
              </w:rPr>
              <w:t xml:space="preserve">       </w:t>
            </w:r>
            <w:r>
              <w:rPr>
                <w:color w:val="0D0D0D"/>
              </w:rPr>
              <w:t xml:space="preserve">年   月   日                 </w:t>
            </w:r>
            <w:r>
              <w:rPr>
                <w:rFonts w:hint="eastAsia"/>
                <w:color w:val="0D0D0D"/>
              </w:rPr>
              <w:t xml:space="preserve">                  </w:t>
            </w:r>
            <w:r>
              <w:rPr>
                <w:color w:val="0D0D0D"/>
              </w:rPr>
              <w:t>年   月   日</w:t>
            </w:r>
          </w:p>
        </w:tc>
      </w:tr>
      <w:bookmarkEnd w:id="3"/>
    </w:tbl>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tbl>
      <w:tblPr>
        <w:tblStyle w:val="12"/>
        <w:tblW w:w="9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566"/>
        <w:gridCol w:w="2566"/>
        <w:gridCol w:w="25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单位名称</w:t>
            </w:r>
          </w:p>
        </w:tc>
        <w:tc>
          <w:tcPr>
            <w:tcW w:w="2566" w:type="dxa"/>
            <w:vAlign w:val="center"/>
          </w:tcPr>
          <w:p>
            <w:pPr>
              <w:spacing w:line="360" w:lineRule="exact"/>
              <w:rPr>
                <w:rFonts w:ascii="宋体" w:hAnsi="宋体"/>
                <w:color w:val="0D0D0D"/>
              </w:rPr>
            </w:pPr>
            <w:r>
              <w:rPr>
                <w:rFonts w:hint="eastAsia" w:ascii="宋体" w:hAnsi="宋体"/>
                <w:color w:val="0D0D0D"/>
              </w:rPr>
              <w:t>中日友好医院</w:t>
            </w:r>
          </w:p>
        </w:tc>
        <w:tc>
          <w:tcPr>
            <w:tcW w:w="2566" w:type="dxa"/>
            <w:vAlign w:val="center"/>
          </w:tcPr>
          <w:p>
            <w:pPr>
              <w:spacing w:line="360" w:lineRule="exact"/>
              <w:rPr>
                <w:rFonts w:ascii="宋体" w:hAnsi="宋体"/>
                <w:color w:val="0D0D0D"/>
              </w:rPr>
            </w:pPr>
            <w:r>
              <w:rPr>
                <w:rFonts w:ascii="宋体" w:hAnsi="宋体"/>
                <w:color w:val="0D0D0D"/>
              </w:rPr>
              <w:t>排    名</w:t>
            </w:r>
          </w:p>
        </w:tc>
        <w:tc>
          <w:tcPr>
            <w:tcW w:w="2568" w:type="dxa"/>
            <w:vAlign w:val="center"/>
          </w:tcPr>
          <w:p>
            <w:pPr>
              <w:spacing w:line="360" w:lineRule="exact"/>
              <w:rPr>
                <w:rFonts w:ascii="宋体" w:hAnsi="宋体"/>
                <w:color w:val="0D0D0D"/>
              </w:rPr>
            </w:pPr>
            <w:r>
              <w:rPr>
                <w:rFonts w:hint="eastAsia" w:ascii="宋体" w:hAnsi="宋体"/>
                <w:color w:val="0D0D0D"/>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211" w:type="dxa"/>
            <w:gridSpan w:val="4"/>
          </w:tcPr>
          <w:p>
            <w:pPr>
              <w:spacing w:line="360" w:lineRule="exact"/>
              <w:rPr>
                <w:rFonts w:ascii="宋体" w:hAnsi="宋体"/>
                <w:color w:val="0D0D0D"/>
                <w:sz w:val="25"/>
              </w:rPr>
            </w:pPr>
            <w:r>
              <w:rPr>
                <w:rFonts w:ascii="宋体" w:hAnsi="宋体"/>
                <w:color w:val="0D0D0D"/>
              </w:rPr>
              <w:t>对本项目科技创新和</w:t>
            </w:r>
            <w:r>
              <w:rPr>
                <w:rFonts w:hint="eastAsia" w:ascii="宋体" w:hAnsi="宋体"/>
                <w:color w:val="0D0D0D"/>
              </w:rPr>
              <w:t>推广</w:t>
            </w:r>
            <w:r>
              <w:rPr>
                <w:rFonts w:ascii="宋体" w:hAnsi="宋体"/>
                <w:color w:val="0D0D0D"/>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6" w:hRule="atLeast"/>
          <w:jc w:val="center"/>
        </w:trPr>
        <w:tc>
          <w:tcPr>
            <w:tcW w:w="9211" w:type="dxa"/>
            <w:gridSpan w:val="4"/>
          </w:tcPr>
          <w:p>
            <w:pPr>
              <w:jc w:val="left"/>
              <w:rPr>
                <w:rFonts w:ascii="AdobeSongStd-Light" w:hAnsi="AdobeSongStd-Light" w:eastAsia="AdobeSongStd-Light"/>
                <w:sz w:val="24"/>
                <w:szCs w:val="24"/>
              </w:rPr>
            </w:pP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 xml:space="preserve">    中日友好医院在卫生部、北京市及医院多项重点资助下，2003年</w:t>
            </w:r>
            <w:r>
              <w:rPr>
                <w:rFonts w:hint="eastAsia" w:ascii="AdobeSongStd-Light" w:hAnsi="AdobeSongStd-Light" w:eastAsia="AdobeSongStd-Light"/>
                <w:sz w:val="24"/>
                <w:szCs w:val="24"/>
                <w:lang w:eastAsia="zh-CN"/>
              </w:rPr>
              <w:t>起承担</w:t>
            </w:r>
            <w:r>
              <w:rPr>
                <w:rFonts w:hint="eastAsia" w:ascii="AdobeSongStd-Light" w:hAnsi="AdobeSongStd-Light" w:eastAsia="AdobeSongStd-Light"/>
                <w:sz w:val="24"/>
                <w:szCs w:val="24"/>
              </w:rPr>
              <w:t>北京市及周边省市SARS患者骨科并发症的筛查和治疗任务以后，投入大量人力、财力，以皮质类固醇性骨坏死为主的基础与临床研究等诸多课题进行了探索，取得阶段性成果。</w:t>
            </w: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部分研究成果已在临床应用，包括骨坏死的早期诊断与分型（中日友好医院分型），股骨头坏死体积测定及股骨头塌陷预测，个体化选择保存患者自身关节的治疗及人工关节全髋关节置换术的新技术。核心研究成果与大连大学附属中山医院和香港中文大学团队结合，推出了股骨头坏死的诊断治疗指南。</w:t>
            </w:r>
          </w:p>
          <w:p>
            <w:pPr>
              <w:jc w:val="left"/>
              <w:rPr>
                <w:rFonts w:ascii="AdobeSongStd-Light" w:hAnsi="AdobeSongStd-Light" w:eastAsia="AdobeSongStd-Light"/>
                <w:sz w:val="24"/>
                <w:szCs w:val="24"/>
              </w:rPr>
            </w:pPr>
          </w:p>
          <w:p>
            <w:pPr>
              <w:jc w:val="left"/>
              <w:rPr>
                <w:rFonts w:ascii="AdobeSongStd-Light" w:hAnsi="AdobeSongStd-Light" w:eastAsia="AdobeSongStd-Light"/>
                <w:sz w:val="24"/>
                <w:szCs w:val="24"/>
              </w:rPr>
            </w:pPr>
            <w:r>
              <w:rPr>
                <w:rFonts w:hint="eastAsia" w:ascii="AdobeSongStd-Light" w:hAnsi="AdobeSongStd-Light" w:eastAsia="AdobeSongStd-Light"/>
                <w:sz w:val="24"/>
                <w:szCs w:val="24"/>
                <w:lang w:val="en-US" w:eastAsia="zh-CN"/>
              </w:rPr>
              <w:t xml:space="preserve">    </w:t>
            </w:r>
            <w:r>
              <w:rPr>
                <w:rFonts w:hint="eastAsia" w:ascii="AdobeSongStd-Light" w:hAnsi="AdobeSongStd-Light" w:eastAsia="AdobeSongStd-Light"/>
                <w:sz w:val="24"/>
                <w:szCs w:val="24"/>
              </w:rPr>
              <w:t>中日友好医院二十几年来对骨坏死项目给予大力的支持，保证了骨坏死课题研究的延续性；中日友好医院的研究成果以多种形式推广，使规范化股骨头坏死诊疗方案在国内普及，提高了疗效，节省了医疗费用。</w:t>
            </w: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 xml:space="preserve">   </w:t>
            </w:r>
          </w:p>
          <w:p>
            <w:pPr>
              <w:pStyle w:val="5"/>
              <w:spacing w:line="390" w:lineRule="exact"/>
              <w:ind w:firstLine="420"/>
              <w:rPr>
                <w:rFonts w:ascii="宋体" w:hAnsi="宋体"/>
                <w:color w:val="0D0D0D"/>
                <w:sz w:val="21"/>
              </w:rPr>
            </w:pPr>
          </w:p>
          <w:p>
            <w:pPr>
              <w:spacing w:line="600" w:lineRule="exact"/>
              <w:jc w:val="center"/>
              <w:rPr>
                <w:rFonts w:ascii="宋体" w:hAnsi="宋体"/>
                <w:color w:val="0D0D0D"/>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1" w:type="dxa"/>
            <w:gridSpan w:val="4"/>
          </w:tcPr>
          <w:p>
            <w:pPr>
              <w:pStyle w:val="7"/>
              <w:ind w:firstLine="454"/>
              <w:rPr>
                <w:rFonts w:ascii="宋体" w:hAnsi="宋体"/>
                <w:color w:val="0D0D0D"/>
                <w:szCs w:val="24"/>
              </w:rPr>
            </w:pPr>
            <w:r>
              <w:rPr>
                <w:rFonts w:hint="eastAsia"/>
                <w:b/>
                <w:bCs/>
                <w:color w:val="0D0D0D"/>
              </w:rPr>
              <w:t>声明</w:t>
            </w:r>
            <w:r>
              <w:rPr>
                <w:rFonts w:hint="eastAsia"/>
                <w:color w:val="0D0D0D"/>
              </w:rPr>
              <w:t>：</w:t>
            </w:r>
            <w:r>
              <w:rPr>
                <w:rFonts w:hint="eastAsia" w:ascii="宋体" w:hAnsi="宋体"/>
                <w:color w:val="0D0D0D"/>
                <w:szCs w:val="24"/>
              </w:rPr>
              <w:t>本单位同意完成单位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7"/>
              <w:rPr>
                <w:rFonts w:ascii="宋体" w:hAnsi="宋体"/>
                <w:color w:val="0D0D0D"/>
                <w:szCs w:val="24"/>
              </w:rPr>
            </w:pPr>
          </w:p>
          <w:p>
            <w:pPr>
              <w:pStyle w:val="7"/>
              <w:rPr>
                <w:rFonts w:ascii="宋体" w:hAnsi="宋体"/>
                <w:color w:val="0D0D0D"/>
              </w:rPr>
            </w:pPr>
          </w:p>
          <w:p>
            <w:pPr>
              <w:pStyle w:val="7"/>
              <w:rPr>
                <w:color w:val="0D0D0D"/>
              </w:rPr>
            </w:pPr>
            <w:r>
              <w:rPr>
                <w:rFonts w:hint="eastAsia"/>
                <w:color w:val="0D0D0D"/>
              </w:rPr>
              <w:t>法定代表人签名：</w:t>
            </w:r>
            <w:r>
              <w:rPr>
                <w:color w:val="0D0D0D"/>
              </w:rPr>
              <w:t xml:space="preserve">                  </w:t>
            </w:r>
            <w:r>
              <w:rPr>
                <w:rFonts w:hint="eastAsia"/>
                <w:color w:val="0D0D0D"/>
              </w:rPr>
              <w:t xml:space="preserve">                 </w:t>
            </w:r>
            <w:r>
              <w:rPr>
                <w:color w:val="0D0D0D"/>
              </w:rPr>
              <w:t>单位</w:t>
            </w:r>
            <w:r>
              <w:rPr>
                <w:rFonts w:hint="eastAsia"/>
                <w:color w:val="0D0D0D"/>
              </w:rPr>
              <w:t>（盖章）</w:t>
            </w:r>
          </w:p>
          <w:p>
            <w:pPr>
              <w:pStyle w:val="7"/>
              <w:rPr>
                <w:color w:val="0D0D0D"/>
              </w:rPr>
            </w:pPr>
          </w:p>
          <w:p>
            <w:pPr>
              <w:pStyle w:val="7"/>
              <w:rPr>
                <w:color w:val="0D0D0D"/>
              </w:rPr>
            </w:pPr>
            <w:r>
              <w:rPr>
                <w:rFonts w:hint="eastAsia"/>
                <w:color w:val="0D0D0D"/>
              </w:rPr>
              <w:t xml:space="preserve">       </w:t>
            </w:r>
            <w:r>
              <w:rPr>
                <w:color w:val="0D0D0D"/>
              </w:rPr>
              <w:t xml:space="preserve">年   月   日                 </w:t>
            </w:r>
            <w:r>
              <w:rPr>
                <w:rFonts w:hint="eastAsia"/>
                <w:color w:val="0D0D0D"/>
              </w:rPr>
              <w:t xml:space="preserve">                  </w:t>
            </w:r>
            <w:r>
              <w:rPr>
                <w:color w:val="0D0D0D"/>
              </w:rPr>
              <w:t>年   月   日</w:t>
            </w:r>
          </w:p>
        </w:tc>
      </w:tr>
    </w:tbl>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p>
      <w:pPr>
        <w:pStyle w:val="5"/>
        <w:ind w:firstLine="0" w:firstLineChars="0"/>
        <w:jc w:val="center"/>
        <w:outlineLvl w:val="1"/>
        <w:rPr>
          <w:rFonts w:ascii="宋体" w:hAnsi="宋体"/>
          <w:color w:val="0D0D0D"/>
          <w:sz w:val="28"/>
        </w:rPr>
      </w:pPr>
    </w:p>
    <w:tbl>
      <w:tblPr>
        <w:tblStyle w:val="12"/>
        <w:tblW w:w="9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566"/>
        <w:gridCol w:w="2566"/>
        <w:gridCol w:w="25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单位名称</w:t>
            </w:r>
          </w:p>
        </w:tc>
        <w:tc>
          <w:tcPr>
            <w:tcW w:w="2566" w:type="dxa"/>
            <w:vAlign w:val="center"/>
          </w:tcPr>
          <w:p>
            <w:pPr>
              <w:spacing w:line="360" w:lineRule="exact"/>
              <w:rPr>
                <w:rFonts w:ascii="宋体" w:hAnsi="宋体"/>
                <w:color w:val="0D0D0D"/>
              </w:rPr>
            </w:pPr>
            <w:r>
              <w:rPr>
                <w:rFonts w:hint="eastAsia" w:ascii="宋体" w:hAnsi="宋体"/>
                <w:color w:val="0D0D0D"/>
              </w:rPr>
              <w:t>香港中文大学</w:t>
            </w:r>
          </w:p>
        </w:tc>
        <w:tc>
          <w:tcPr>
            <w:tcW w:w="2566" w:type="dxa"/>
            <w:vAlign w:val="center"/>
          </w:tcPr>
          <w:p>
            <w:pPr>
              <w:spacing w:line="360" w:lineRule="exact"/>
              <w:rPr>
                <w:rFonts w:ascii="宋体" w:hAnsi="宋体"/>
                <w:color w:val="0D0D0D"/>
              </w:rPr>
            </w:pPr>
            <w:r>
              <w:rPr>
                <w:rFonts w:ascii="宋体" w:hAnsi="宋体"/>
                <w:color w:val="0D0D0D"/>
              </w:rPr>
              <w:t>排    名</w:t>
            </w:r>
          </w:p>
        </w:tc>
        <w:tc>
          <w:tcPr>
            <w:tcW w:w="2568" w:type="dxa"/>
            <w:vAlign w:val="center"/>
          </w:tcPr>
          <w:p>
            <w:pPr>
              <w:spacing w:line="360" w:lineRule="exact"/>
              <w:rPr>
                <w:rFonts w:ascii="宋体" w:hAnsi="宋体"/>
                <w:color w:val="0D0D0D"/>
              </w:rPr>
            </w:pPr>
            <w:r>
              <w:rPr>
                <w:rFonts w:hint="eastAsia" w:ascii="宋体" w:hAnsi="宋体"/>
                <w:color w:val="0D0D0D"/>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211" w:type="dxa"/>
            <w:gridSpan w:val="4"/>
          </w:tcPr>
          <w:p>
            <w:pPr>
              <w:spacing w:line="360" w:lineRule="exact"/>
              <w:rPr>
                <w:rFonts w:ascii="宋体" w:hAnsi="宋体"/>
                <w:color w:val="0D0D0D"/>
                <w:sz w:val="25"/>
              </w:rPr>
            </w:pPr>
            <w:r>
              <w:rPr>
                <w:rFonts w:ascii="宋体" w:hAnsi="宋体"/>
                <w:color w:val="0D0D0D"/>
              </w:rPr>
              <w:t>对本项目科技创新和</w:t>
            </w:r>
            <w:r>
              <w:rPr>
                <w:rFonts w:hint="eastAsia" w:ascii="宋体" w:hAnsi="宋体"/>
                <w:color w:val="0D0D0D"/>
              </w:rPr>
              <w:t>推广</w:t>
            </w:r>
            <w:r>
              <w:rPr>
                <w:rFonts w:ascii="宋体" w:hAnsi="宋体"/>
                <w:color w:val="0D0D0D"/>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6" w:hRule="atLeast"/>
          <w:jc w:val="center"/>
        </w:trPr>
        <w:tc>
          <w:tcPr>
            <w:tcW w:w="9211" w:type="dxa"/>
            <w:gridSpan w:val="4"/>
          </w:tcPr>
          <w:p>
            <w:pPr>
              <w:jc w:val="left"/>
              <w:rPr>
                <w:rFonts w:ascii="AdobeSongStd-Light" w:hAnsi="AdobeSongStd-Light" w:eastAsia="AdobeSongStd-Light"/>
                <w:sz w:val="24"/>
                <w:szCs w:val="24"/>
              </w:rPr>
            </w:pP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 xml:space="preserve">   </w:t>
            </w:r>
            <w:r>
              <w:rPr>
                <w:rFonts w:hint="eastAsia" w:ascii="AdobeSongStd-Light" w:hAnsi="AdobeSongStd-Light" w:eastAsia="AdobeSongStd-Light"/>
                <w:sz w:val="24"/>
                <w:szCs w:val="24"/>
                <w:lang w:val="en-US" w:eastAsia="zh-CN"/>
              </w:rPr>
              <w:t xml:space="preserve"> </w:t>
            </w:r>
            <w:r>
              <w:rPr>
                <w:rFonts w:hint="eastAsia" w:ascii="AdobeSongStd-Light" w:hAnsi="AdobeSongStd-Light" w:eastAsia="AdobeSongStd-Light"/>
                <w:sz w:val="24"/>
                <w:szCs w:val="24"/>
              </w:rPr>
              <w:t>香港中文大学秦岭教授联合临床骨科医生、影像学、骨细胞分子生物学和骨科药理学专家在内的多学科研究团队，围绕病理生理机制、风险预诊、实验模型和植物小分子预防激素性骨坏死效能及代谢机制开展了系统的临床与基础研究联合攻关。研究团队成功建立股骨头塌陷动物模型，并应用多种现代影像评价方法确定骨坏死模型血管内、外发病机制。</w:t>
            </w:r>
            <w:r>
              <w:rPr>
                <w:rFonts w:hint="eastAsia" w:ascii="宋体" w:hAnsi="宋体"/>
                <w:b w:val="0"/>
                <w:bCs w:val="0"/>
                <w:sz w:val="24"/>
                <w:szCs w:val="24"/>
              </w:rPr>
              <w:t>应用生物影像技术进行评价，证实骨髓基质干细胞亢进的成脂过程促进了骨坏死病灶的形成</w:t>
            </w:r>
            <w:r>
              <w:rPr>
                <w:rFonts w:hint="eastAsia" w:ascii="AdobeSongStd-Light" w:hAnsi="AdobeSongStd-Light" w:eastAsia="AdobeSongStd-Light"/>
                <w:sz w:val="24"/>
                <w:szCs w:val="24"/>
              </w:rPr>
              <w:t>。在可降解镁金属的基础研究中证实了镁离子的促进骨生成特性</w:t>
            </w:r>
            <w:r>
              <w:rPr>
                <w:rFonts w:hint="eastAsia" w:ascii="AdobeSongStd-Light" w:hAnsi="AdobeSongStd-Light" w:eastAsia="AdobeSongStd-Light"/>
                <w:sz w:val="24"/>
                <w:szCs w:val="24"/>
                <w:lang w:eastAsia="zh-CN"/>
              </w:rPr>
              <w:t>与生物安全性</w:t>
            </w:r>
            <w:r>
              <w:rPr>
                <w:rFonts w:hint="eastAsia" w:ascii="AdobeSongStd-Light" w:hAnsi="AdobeSongStd-Light" w:eastAsia="AdobeSongStd-Light"/>
                <w:sz w:val="24"/>
                <w:szCs w:val="24"/>
              </w:rPr>
              <w:t>。</w:t>
            </w:r>
          </w:p>
          <w:p>
            <w:pPr>
              <w:jc w:val="left"/>
              <w:rPr>
                <w:rFonts w:ascii="AdobeSongStd-Light" w:hAnsi="AdobeSongStd-Light" w:eastAsia="AdobeSongStd-Light"/>
                <w:sz w:val="24"/>
                <w:szCs w:val="24"/>
              </w:rPr>
            </w:pPr>
            <w:r>
              <w:rPr>
                <w:rFonts w:hint="eastAsia" w:ascii="AdobeSongStd-Light" w:hAnsi="AdobeSongStd-Light" w:eastAsia="AdobeSongStd-Light"/>
                <w:sz w:val="24"/>
                <w:szCs w:val="24"/>
              </w:rPr>
              <w:t xml:space="preserve">   </w:t>
            </w:r>
            <w:r>
              <w:rPr>
                <w:rFonts w:hint="eastAsia" w:ascii="AdobeSongStd-Light" w:hAnsi="AdobeSongStd-Light" w:eastAsia="AdobeSongStd-Light"/>
                <w:sz w:val="24"/>
                <w:szCs w:val="24"/>
                <w:lang w:val="en-US" w:eastAsia="zh-CN"/>
              </w:rPr>
              <w:t xml:space="preserve"> </w:t>
            </w:r>
            <w:r>
              <w:rPr>
                <w:rFonts w:hint="eastAsia" w:ascii="AdobeSongStd-Light" w:hAnsi="AdobeSongStd-Light" w:eastAsia="AdobeSongStd-Light"/>
                <w:sz w:val="24"/>
                <w:szCs w:val="24"/>
              </w:rPr>
              <w:t>研究成果紧密结合临床，是骨坏死的系统化治疗方案形成的基础。系列工作成果发表在有影响力的SCI期刊上，通过论文、著作及举办会议的形式推广。</w:t>
            </w:r>
          </w:p>
          <w:p>
            <w:pPr>
              <w:spacing w:line="600" w:lineRule="exact"/>
              <w:jc w:val="center"/>
              <w:rPr>
                <w:rFonts w:ascii="宋体" w:hAnsi="宋体"/>
                <w:color w:val="0D0D0D"/>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1" w:type="dxa"/>
            <w:gridSpan w:val="4"/>
          </w:tcPr>
          <w:p>
            <w:pPr>
              <w:pStyle w:val="7"/>
              <w:ind w:firstLine="454"/>
              <w:rPr>
                <w:rFonts w:ascii="宋体" w:hAnsi="宋体"/>
                <w:color w:val="0D0D0D"/>
                <w:szCs w:val="24"/>
              </w:rPr>
            </w:pPr>
            <w:r>
              <w:rPr>
                <w:rFonts w:hint="eastAsia"/>
                <w:b/>
                <w:bCs/>
                <w:color w:val="0D0D0D"/>
              </w:rPr>
              <w:t>声明</w:t>
            </w:r>
            <w:r>
              <w:rPr>
                <w:rFonts w:hint="eastAsia"/>
                <w:color w:val="0D0D0D"/>
              </w:rPr>
              <w:t>：</w:t>
            </w:r>
            <w:r>
              <w:rPr>
                <w:rFonts w:hint="eastAsia" w:ascii="宋体" w:hAnsi="宋体"/>
                <w:color w:val="0D0D0D"/>
                <w:szCs w:val="24"/>
              </w:rPr>
              <w:t>本单位同意完成单位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7"/>
              <w:rPr>
                <w:rFonts w:ascii="宋体" w:hAnsi="宋体"/>
                <w:color w:val="0D0D0D"/>
                <w:szCs w:val="24"/>
              </w:rPr>
            </w:pPr>
          </w:p>
          <w:p>
            <w:pPr>
              <w:pStyle w:val="7"/>
              <w:rPr>
                <w:rFonts w:ascii="宋体" w:hAnsi="宋体"/>
                <w:color w:val="0D0D0D"/>
              </w:rPr>
            </w:pPr>
          </w:p>
          <w:p>
            <w:pPr>
              <w:pStyle w:val="7"/>
              <w:rPr>
                <w:color w:val="0D0D0D"/>
              </w:rPr>
            </w:pPr>
            <w:r>
              <w:rPr>
                <w:rFonts w:hint="eastAsia"/>
                <w:color w:val="0D0D0D"/>
              </w:rPr>
              <w:t>法定代表人签名：</w:t>
            </w:r>
            <w:r>
              <w:rPr>
                <w:color w:val="0D0D0D"/>
              </w:rPr>
              <w:t xml:space="preserve">                  </w:t>
            </w:r>
            <w:r>
              <w:rPr>
                <w:rFonts w:hint="eastAsia"/>
                <w:color w:val="0D0D0D"/>
              </w:rPr>
              <w:t xml:space="preserve">                 </w:t>
            </w:r>
            <w:r>
              <w:rPr>
                <w:color w:val="0D0D0D"/>
              </w:rPr>
              <w:t>单位</w:t>
            </w:r>
            <w:r>
              <w:rPr>
                <w:rFonts w:hint="eastAsia"/>
                <w:color w:val="0D0D0D"/>
              </w:rPr>
              <w:t>（盖章）</w:t>
            </w:r>
          </w:p>
          <w:p>
            <w:pPr>
              <w:pStyle w:val="7"/>
              <w:rPr>
                <w:color w:val="0D0D0D"/>
              </w:rPr>
            </w:pPr>
          </w:p>
          <w:p>
            <w:pPr>
              <w:pStyle w:val="7"/>
              <w:rPr>
                <w:color w:val="0D0D0D"/>
              </w:rPr>
            </w:pPr>
            <w:r>
              <w:rPr>
                <w:rFonts w:hint="eastAsia"/>
                <w:color w:val="0D0D0D"/>
              </w:rPr>
              <w:t xml:space="preserve">       </w:t>
            </w:r>
            <w:r>
              <w:rPr>
                <w:color w:val="0D0D0D"/>
              </w:rPr>
              <w:t xml:space="preserve">年   月   日                 </w:t>
            </w:r>
            <w:r>
              <w:rPr>
                <w:rFonts w:hint="eastAsia"/>
                <w:color w:val="0D0D0D"/>
              </w:rPr>
              <w:t xml:space="preserve">                  </w:t>
            </w:r>
            <w:r>
              <w:rPr>
                <w:color w:val="0D0D0D"/>
              </w:rPr>
              <w:t>年   月   日</w:t>
            </w:r>
          </w:p>
        </w:tc>
      </w:tr>
    </w:tbl>
    <w:p>
      <w:pPr>
        <w:pStyle w:val="5"/>
        <w:spacing w:line="240" w:lineRule="auto"/>
        <w:ind w:firstLine="0" w:firstLineChars="0"/>
        <w:rPr>
          <w:rFonts w:ascii="宋体" w:hAnsi="宋体"/>
          <w:color w:val="0D0D0D"/>
        </w:rPr>
      </w:pPr>
      <w:r>
        <w:rPr>
          <w:rFonts w:ascii="宋体" w:hAnsi="宋体"/>
          <w:color w:val="0D0D0D"/>
        </w:rPr>
        <w:br w:type="page"/>
      </w:r>
    </w:p>
    <w:p>
      <w:pPr>
        <w:widowControl/>
        <w:jc w:val="center"/>
        <w:outlineLvl w:val="2"/>
        <w:rPr>
          <w:rFonts w:ascii="宋体" w:hAnsi="宋体"/>
          <w:b/>
          <w:color w:val="0D0D0D"/>
          <w:sz w:val="28"/>
        </w:rPr>
      </w:pPr>
      <w:r>
        <w:rPr>
          <w:rFonts w:hint="eastAsia" w:ascii="宋体" w:hAnsi="宋体"/>
          <w:b/>
          <w:color w:val="0D0D0D"/>
          <w:sz w:val="28"/>
        </w:rPr>
        <w:t>完成人合作关系说明</w:t>
      </w:r>
    </w:p>
    <w:p>
      <w:pPr>
        <w:widowControl/>
        <w:jc w:val="center"/>
        <w:rPr>
          <w:rFonts w:ascii="宋体" w:hAnsi="宋体"/>
          <w:b/>
          <w:color w:val="0D0D0D"/>
          <w:sz w:val="24"/>
          <w:szCs w:val="24"/>
        </w:rPr>
      </w:pPr>
    </w:p>
    <w:p>
      <w:pPr>
        <w:autoSpaceDE w:val="0"/>
        <w:autoSpaceDN w:val="0"/>
        <w:adjustRightInd w:val="0"/>
        <w:spacing w:line="360" w:lineRule="auto"/>
        <w:ind w:firstLine="420" w:firstLineChars="200"/>
        <w:jc w:val="left"/>
        <w:rPr>
          <w:szCs w:val="21"/>
        </w:rPr>
      </w:pPr>
      <w:r>
        <w:rPr>
          <w:rFonts w:hint="eastAsia"/>
          <w:szCs w:val="21"/>
        </w:rPr>
        <w:t>自2003年起，完成人赵德伟、李子荣、秦岭团队，针对骨坏死的流行病学特点，发病机制，模型建立，新材料的应用及骨坏死临床治疗进行了合作研究，并各有侧重临床和基础，研究团队相关研究成果共同以论著及论文形式发表，总结科研成果组织完成《成人股骨头坏死诊疗标准专家共识》及《成人股骨头坏死临床诊疗指南》指导股骨头坏死的临床诊断和规范化治疗。</w:t>
      </w:r>
    </w:p>
    <w:p>
      <w:pPr>
        <w:autoSpaceDE w:val="0"/>
        <w:autoSpaceDN w:val="0"/>
        <w:adjustRightInd w:val="0"/>
        <w:spacing w:line="360" w:lineRule="auto"/>
        <w:jc w:val="left"/>
        <w:rPr>
          <w:b/>
          <w:bCs/>
          <w:szCs w:val="21"/>
        </w:rPr>
      </w:pPr>
      <w:r>
        <w:rPr>
          <w:rFonts w:hint="eastAsia"/>
          <w:b/>
          <w:bCs/>
          <w:szCs w:val="21"/>
        </w:rPr>
        <w:t>共同出版论著：</w:t>
      </w:r>
    </w:p>
    <w:p>
      <w:pPr>
        <w:autoSpaceDE w:val="0"/>
        <w:autoSpaceDN w:val="0"/>
        <w:adjustRightInd w:val="0"/>
        <w:spacing w:line="360" w:lineRule="auto"/>
        <w:jc w:val="left"/>
        <w:rPr>
          <w:szCs w:val="21"/>
        </w:rPr>
      </w:pPr>
      <w:r>
        <w:rPr>
          <w:rFonts w:hint="eastAsia"/>
          <w:szCs w:val="21"/>
        </w:rPr>
        <w:t>1.《股骨头缺血性坏死的修复与再造》第三版，人民卫生出版社，2013年7月；（赵德伟，李子荣，秦岭）</w:t>
      </w:r>
    </w:p>
    <w:p>
      <w:pPr>
        <w:autoSpaceDE w:val="0"/>
        <w:autoSpaceDN w:val="0"/>
        <w:adjustRightInd w:val="0"/>
        <w:spacing w:line="360" w:lineRule="auto"/>
        <w:jc w:val="left"/>
        <w:rPr>
          <w:szCs w:val="21"/>
        </w:rPr>
      </w:pPr>
      <w:r>
        <w:rPr>
          <w:rFonts w:hint="eastAsia"/>
          <w:szCs w:val="21"/>
        </w:rPr>
        <w:t>2. 《骨内科学-从临床到实验室到临床和社区》，人民卫生出版社，2013年10月；（秦岭，赵德伟，李子荣）</w:t>
      </w:r>
    </w:p>
    <w:p>
      <w:pPr>
        <w:autoSpaceDE w:val="0"/>
        <w:autoSpaceDN w:val="0"/>
        <w:adjustRightInd w:val="0"/>
        <w:spacing w:line="360" w:lineRule="auto"/>
        <w:jc w:val="left"/>
        <w:rPr>
          <w:szCs w:val="21"/>
        </w:rPr>
      </w:pPr>
      <w:r>
        <w:rPr>
          <w:rFonts w:hint="eastAsia"/>
          <w:szCs w:val="21"/>
        </w:rPr>
        <w:t>3.《骨坏死》人民卫生出版社，2012年12月；（李子荣，赵德伟，秦岭）</w:t>
      </w:r>
    </w:p>
    <w:p>
      <w:pPr>
        <w:autoSpaceDE w:val="0"/>
        <w:autoSpaceDN w:val="0"/>
        <w:adjustRightInd w:val="0"/>
        <w:spacing w:line="360" w:lineRule="auto"/>
        <w:jc w:val="left"/>
        <w:rPr>
          <w:b/>
          <w:bCs/>
          <w:szCs w:val="21"/>
        </w:rPr>
      </w:pPr>
      <w:r>
        <w:rPr>
          <w:rFonts w:hint="eastAsia"/>
          <w:b/>
          <w:bCs/>
          <w:szCs w:val="21"/>
        </w:rPr>
        <w:t>共同发表论文：</w:t>
      </w:r>
    </w:p>
    <w:p>
      <w:pPr>
        <w:numPr>
          <w:ilvl w:val="0"/>
          <w:numId w:val="3"/>
        </w:numPr>
        <w:autoSpaceDE w:val="0"/>
        <w:autoSpaceDN w:val="0"/>
        <w:adjustRightInd w:val="0"/>
        <w:spacing w:line="360" w:lineRule="auto"/>
        <w:jc w:val="left"/>
        <w:rPr>
          <w:rFonts w:ascii="Times New Roman" w:hAnsi="Times New Roman" w:cs="Times New Roman"/>
          <w:szCs w:val="21"/>
        </w:rPr>
      </w:pPr>
      <w:r>
        <w:fldChar w:fldCharType="begin"/>
      </w:r>
      <w:r>
        <w:instrText xml:space="preserve"> HYPERLINK "https://www.ncbi.nlm.nih.gov/pubmed/?term=Zhao%20DW%5bAuthor%5d&amp;cauthor=true&amp;cauthor_uid=22927145" </w:instrText>
      </w:r>
      <w:r>
        <w:fldChar w:fldCharType="separate"/>
      </w:r>
      <w:r>
        <w:rPr>
          <w:rFonts w:ascii="Times New Roman" w:hAnsi="Times New Roman" w:cs="Times New Roman"/>
          <w:szCs w:val="21"/>
        </w:rPr>
        <w:t>Zhao DW</w:t>
      </w:r>
      <w:r>
        <w:rPr>
          <w:rFonts w:ascii="Times New Roman" w:hAnsi="Times New Roman" w:cs="Times New Roman"/>
          <w:szCs w:val="21"/>
        </w:rPr>
        <w:fldChar w:fldCharType="end"/>
      </w:r>
      <w:r>
        <w:rPr>
          <w:rFonts w:ascii="Times New Roman" w:hAnsi="Times New Roman" w:cs="Times New Roman"/>
          <w:szCs w:val="21"/>
        </w:rPr>
        <w:t xml:space="preserve">, </w:t>
      </w:r>
      <w:r>
        <w:fldChar w:fldCharType="begin"/>
      </w:r>
      <w:r>
        <w:instrText xml:space="preserve"> HYPERLINK "https://www.ncbi.nlm.nih.gov/pubmed/?term=Hu%20YC%5bAuthor%5d&amp;cauthor=true&amp;cauthor_uid=22927145" </w:instrText>
      </w:r>
      <w:r>
        <w:fldChar w:fldCharType="separate"/>
      </w:r>
      <w:r>
        <w:rPr>
          <w:rFonts w:ascii="Times New Roman" w:hAnsi="Times New Roman" w:cs="Times New Roman"/>
          <w:szCs w:val="21"/>
        </w:rPr>
        <w:t>Hu YC</w:t>
      </w:r>
      <w:r>
        <w:rPr>
          <w:rFonts w:ascii="Times New Roman" w:hAnsi="Times New Roman" w:cs="Times New Roman"/>
          <w:szCs w:val="21"/>
        </w:rPr>
        <w:fldChar w:fldCharType="end"/>
      </w:r>
      <w:r>
        <w:rPr>
          <w:rFonts w:hint="eastAsia" w:ascii="Times New Roman" w:hAnsi="Times New Roman" w:cs="Times New Roman"/>
          <w:szCs w:val="21"/>
        </w:rPr>
        <w:t>, et al</w:t>
      </w:r>
      <w:r>
        <w:rPr>
          <w:rFonts w:ascii="Times New Roman" w:hAnsi="Times New Roman" w:cs="Times New Roman"/>
          <w:szCs w:val="21"/>
        </w:rPr>
        <w:t>.Chinese experts’ consensus on the diagnosis and treatment of osteonecrosis of the Femoral Head in Adults. Orthopaedic Surgery，2012 Aug;4(3):125-130. </w:t>
      </w:r>
      <w:r>
        <w:rPr>
          <w:rFonts w:ascii="Times New Roman" w:hAnsi="Times New Roman" w:cs="Times New Roman"/>
          <w:b/>
          <w:szCs w:val="21"/>
        </w:rPr>
        <w:t>（赵德伟，李子荣，秦岭）</w:t>
      </w:r>
    </w:p>
    <w:p>
      <w:pPr>
        <w:numPr>
          <w:ilvl w:val="0"/>
          <w:numId w:val="3"/>
        </w:numPr>
        <w:autoSpaceDE w:val="0"/>
        <w:autoSpaceDN w:val="0"/>
        <w:adjustRightInd w:val="0"/>
        <w:spacing w:line="360" w:lineRule="auto"/>
        <w:jc w:val="left"/>
        <w:rPr>
          <w:rFonts w:ascii="Times New Roman" w:hAnsi="Times New Roman" w:cs="Times New Roman"/>
          <w:szCs w:val="21"/>
        </w:rPr>
      </w:pPr>
      <w:r>
        <w:rPr>
          <w:rFonts w:hint="eastAsia" w:ascii="Times New Roman" w:hAnsi="Times New Roman" w:cs="Times New Roman"/>
          <w:szCs w:val="21"/>
        </w:rPr>
        <w:t>中华医学会骨科分会显微修复学组，中国修复重建外科专业委员会骨缺损及骨坏死学组.</w:t>
      </w:r>
      <w:r>
        <w:rPr>
          <w:rFonts w:ascii="Times New Roman" w:hAnsi="Times New Roman" w:cs="Times New Roman"/>
          <w:szCs w:val="21"/>
        </w:rPr>
        <w:t xml:space="preserve">成人股骨头坏死诊疗标准专家共识（2012年版）中华骨科杂志.2012.32（6）606-610. </w:t>
      </w:r>
      <w:r>
        <w:rPr>
          <w:rFonts w:ascii="Times New Roman" w:hAnsi="Times New Roman" w:cs="Times New Roman"/>
          <w:b/>
          <w:szCs w:val="21"/>
        </w:rPr>
        <w:t>（赵德伟，李子荣，秦岭）</w:t>
      </w:r>
    </w:p>
    <w:p>
      <w:pPr>
        <w:numPr>
          <w:ilvl w:val="0"/>
          <w:numId w:val="3"/>
        </w:numPr>
        <w:autoSpaceDE w:val="0"/>
        <w:autoSpaceDN w:val="0"/>
        <w:adjustRightInd w:val="0"/>
        <w:spacing w:line="360" w:lineRule="auto"/>
        <w:rPr>
          <w:rFonts w:ascii="Times New Roman" w:hAnsi="Times New Roman" w:cs="Times New Roman"/>
          <w:szCs w:val="21"/>
        </w:rPr>
      </w:pPr>
      <w:r>
        <w:rPr>
          <w:rFonts w:ascii="Times New Roman" w:hAnsi="Times New Roman" w:cs="Times New Roman"/>
          <w:kern w:val="0"/>
          <w:szCs w:val="21"/>
        </w:rPr>
        <w:t>Z</w:t>
      </w:r>
      <w:r>
        <w:rPr>
          <w:rFonts w:ascii="Times New Roman" w:hAnsi="Times New Roman" w:cs="Times New Roman"/>
          <w:szCs w:val="21"/>
        </w:rPr>
        <w:t>hao D, Witte F, Lu F, Wang J, Li J, Qin L.</w:t>
      </w:r>
      <w:r>
        <w:fldChar w:fldCharType="begin"/>
      </w:r>
      <w:r>
        <w:instrText xml:space="preserve"> HYPERLINK "https://www.ncbi.nlm.nih.gov/pubmed/27770632" </w:instrText>
      </w:r>
      <w:r>
        <w:fldChar w:fldCharType="separate"/>
      </w:r>
      <w:r>
        <w:rPr>
          <w:rFonts w:ascii="Times New Roman" w:hAnsi="Times New Roman" w:cs="Times New Roman"/>
          <w:szCs w:val="21"/>
        </w:rPr>
        <w:t>Current status on clinical applications of magnesium-based orthopaedic implants: A review from clinical translational perspective.</w:t>
      </w:r>
      <w:r>
        <w:rPr>
          <w:rFonts w:ascii="Times New Roman" w:hAnsi="Times New Roman" w:cs="Times New Roman"/>
          <w:szCs w:val="21"/>
        </w:rPr>
        <w:fldChar w:fldCharType="end"/>
      </w:r>
      <w:r>
        <w:rPr>
          <w:rFonts w:ascii="Times New Roman" w:hAnsi="Times New Roman" w:cs="Times New Roman"/>
          <w:szCs w:val="21"/>
        </w:rPr>
        <w:t xml:space="preserve">Biomaterials. 2017 Jan;112:287-302. </w:t>
      </w:r>
    </w:p>
    <w:p>
      <w:pPr>
        <w:numPr>
          <w:ilvl w:val="0"/>
          <w:numId w:val="3"/>
        </w:numPr>
        <w:autoSpaceDE w:val="0"/>
        <w:autoSpaceDN w:val="0"/>
        <w:adjustRightInd w:val="0"/>
        <w:spacing w:line="360" w:lineRule="auto"/>
        <w:rPr>
          <w:rFonts w:ascii="Times New Roman" w:hAnsi="Times New Roman" w:cs="Times New Roman"/>
          <w:szCs w:val="21"/>
        </w:rPr>
      </w:pPr>
      <w:r>
        <w:rPr>
          <w:rFonts w:ascii="Times New Roman" w:hAnsi="Times New Roman" w:cs="Times New Roman"/>
          <w:szCs w:val="21"/>
        </w:rPr>
        <w:t>Zhao D, Huang S, Lu F, Wang B, Yang L, Qin L, Yang K, Li Y, Li W, Wang W, Tian S, Zhang X, Gao W, Wang Z, Zhang Y, Xie X, Wang J, Li J.</w:t>
      </w:r>
      <w:r>
        <w:fldChar w:fldCharType="begin"/>
      </w:r>
      <w:r>
        <w:instrText xml:space="preserve"> HYPERLINK "https://www.ncbi.nlm.nih.gov/pubmed/26724456" </w:instrText>
      </w:r>
      <w:r>
        <w:fldChar w:fldCharType="separate"/>
      </w:r>
      <w:r>
        <w:rPr>
          <w:rFonts w:ascii="Times New Roman" w:hAnsi="Times New Roman" w:cs="Times New Roman"/>
          <w:szCs w:val="21"/>
        </w:rPr>
        <w:t>Vascularized bone grafting fixed by biodegradable magnesium screw for treating osteonecrosis of the femoral head.</w:t>
      </w:r>
      <w:r>
        <w:rPr>
          <w:rFonts w:ascii="Times New Roman" w:hAnsi="Times New Roman" w:cs="Times New Roman"/>
          <w:szCs w:val="21"/>
        </w:rPr>
        <w:fldChar w:fldCharType="end"/>
      </w:r>
      <w:r>
        <w:rPr>
          <w:rFonts w:ascii="Times New Roman" w:hAnsi="Times New Roman" w:cs="Times New Roman"/>
          <w:szCs w:val="21"/>
        </w:rPr>
        <w:t xml:space="preserve">Biomaterials. 2016 Mar;81:84-92. </w:t>
      </w:r>
    </w:p>
    <w:p>
      <w:pPr>
        <w:numPr>
          <w:ilvl w:val="0"/>
          <w:numId w:val="3"/>
        </w:numPr>
        <w:autoSpaceDE w:val="0"/>
        <w:autoSpaceDN w:val="0"/>
        <w:adjustRightInd w:val="0"/>
        <w:spacing w:line="360" w:lineRule="auto"/>
        <w:rPr>
          <w:rFonts w:ascii="Times New Roman" w:hAnsi="Times New Roman" w:cs="Times New Roman"/>
          <w:szCs w:val="21"/>
        </w:rPr>
      </w:pPr>
      <w:r>
        <w:rPr>
          <w:rFonts w:ascii="Times New Roman" w:hAnsi="Times New Roman" w:cs="Times New Roman"/>
          <w:szCs w:val="21"/>
        </w:rPr>
        <w:t>Zhang G, Sheng H, He YX, Xie XH, Wang YX, Lee KM, Yeung KW, Li ZR, He W, Griffith JF, Leung KS, Qin L.</w:t>
      </w:r>
      <w:r>
        <w:fldChar w:fldCharType="begin"/>
      </w:r>
      <w:r>
        <w:instrText xml:space="preserve"> HYPERLINK "https://www.ncbi.nlm.nih.gov/pubmed/19790047" </w:instrText>
      </w:r>
      <w:r>
        <w:fldChar w:fldCharType="separate"/>
      </w:r>
      <w:r>
        <w:rPr>
          <w:rFonts w:ascii="Times New Roman" w:hAnsi="Times New Roman" w:cs="Times New Roman"/>
          <w:szCs w:val="21"/>
        </w:rPr>
        <w:t>Continuous occurrence of both insufficient neovascularization and elevated vascular permeability in rabbit proximal femur during inadequate repair of steroid-associated osteonecrotic lesions.</w:t>
      </w:r>
      <w:r>
        <w:rPr>
          <w:rFonts w:ascii="Times New Roman" w:hAnsi="Times New Roman" w:cs="Times New Roman"/>
          <w:szCs w:val="21"/>
        </w:rPr>
        <w:fldChar w:fldCharType="end"/>
      </w:r>
      <w:r>
        <w:rPr>
          <w:rFonts w:ascii="Times New Roman" w:hAnsi="Times New Roman" w:cs="Times New Roman"/>
          <w:szCs w:val="21"/>
        </w:rPr>
        <w:t xml:space="preserve">Arthritis Rheum. 2009 Oct;60(10):2966-77. </w:t>
      </w:r>
    </w:p>
    <w:p>
      <w:pPr>
        <w:numPr>
          <w:ilvl w:val="0"/>
          <w:numId w:val="3"/>
        </w:numPr>
        <w:autoSpaceDE w:val="0"/>
        <w:autoSpaceDN w:val="0"/>
        <w:adjustRightInd w:val="0"/>
        <w:spacing w:line="360" w:lineRule="auto"/>
        <w:rPr>
          <w:rFonts w:ascii="Times New Roman" w:hAnsi="Times New Roman" w:cs="Times New Roman"/>
          <w:szCs w:val="21"/>
        </w:rPr>
      </w:pPr>
      <w:r>
        <w:rPr>
          <w:rFonts w:ascii="Times New Roman" w:hAnsi="Times New Roman" w:cs="Times New Roman"/>
          <w:szCs w:val="21"/>
        </w:rPr>
        <w:t>Zhang G, Wang XL, Sheng H, Xie XH, He YX, Yao XS, Li ZR, Lee KM, He W, Leung KS, Qin L.</w:t>
      </w:r>
      <w:r>
        <w:fldChar w:fldCharType="begin"/>
      </w:r>
      <w:r>
        <w:instrText xml:space="preserve"> HYPERLINK "https://www.ncbi.nlm.nih.gov/pubmed/19641620" </w:instrText>
      </w:r>
      <w:r>
        <w:fldChar w:fldCharType="separate"/>
      </w:r>
      <w:r>
        <w:rPr>
          <w:rFonts w:ascii="Times New Roman" w:hAnsi="Times New Roman" w:cs="Times New Roman"/>
          <w:szCs w:val="21"/>
        </w:rPr>
        <w:t>Constitutional flavonoids derived from Epimedium dose-dependently reduce incidence of steroid-associated osteonecrosis not via direct action by themselves on potential cellular targets.</w:t>
      </w:r>
      <w:r>
        <w:rPr>
          <w:rFonts w:ascii="Times New Roman" w:hAnsi="Times New Roman" w:cs="Times New Roman"/>
          <w:szCs w:val="21"/>
        </w:rPr>
        <w:fldChar w:fldCharType="end"/>
      </w:r>
      <w:r>
        <w:rPr>
          <w:rFonts w:ascii="Times New Roman" w:hAnsi="Times New Roman" w:cs="Times New Roman"/>
          <w:szCs w:val="21"/>
        </w:rPr>
        <w:t xml:space="preserve">PLoS One. 2009 Jul 29;4(7):e6419. </w:t>
      </w:r>
    </w:p>
    <w:p>
      <w:pPr>
        <w:numPr>
          <w:ilvl w:val="0"/>
          <w:numId w:val="3"/>
        </w:numPr>
        <w:autoSpaceDE w:val="0"/>
        <w:autoSpaceDN w:val="0"/>
        <w:adjustRightInd w:val="0"/>
        <w:spacing w:line="360" w:lineRule="auto"/>
        <w:rPr>
          <w:rFonts w:ascii="Times New Roman" w:hAnsi="Times New Roman" w:cs="Times New Roman"/>
          <w:szCs w:val="21"/>
        </w:rPr>
      </w:pPr>
      <w:r>
        <w:rPr>
          <w:rFonts w:ascii="Times New Roman" w:hAnsi="Times New Roman" w:cs="Times New Roman"/>
          <w:szCs w:val="21"/>
        </w:rPr>
        <w:t>Zhang G, Qin L, Sheng H, Wang XL, Wang YX, Yeung DK, Griffith JF, Yao XS, Xie XH, Li ZR, Lee KM, Leung KS.</w:t>
      </w:r>
      <w:r>
        <w:fldChar w:fldCharType="begin"/>
      </w:r>
      <w:r>
        <w:instrText xml:space="preserve"> HYPERLINK "https://www.ncbi.nlm.nih.gov/pubmed/19015051" </w:instrText>
      </w:r>
      <w:r>
        <w:fldChar w:fldCharType="separate"/>
      </w:r>
      <w:r>
        <w:rPr>
          <w:rFonts w:ascii="Times New Roman" w:hAnsi="Times New Roman" w:cs="Times New Roman"/>
          <w:szCs w:val="21"/>
        </w:rPr>
        <w:t>A novel semisynthesized small molecule icaritin reduces incidence of steroid-associated osteonecrosis with inhibition of both thrombosis and lipid-deposition in a dose-dependent manner.</w:t>
      </w:r>
      <w:r>
        <w:rPr>
          <w:rFonts w:ascii="Times New Roman" w:hAnsi="Times New Roman" w:cs="Times New Roman"/>
          <w:szCs w:val="21"/>
        </w:rPr>
        <w:fldChar w:fldCharType="end"/>
      </w:r>
      <w:r>
        <w:rPr>
          <w:rFonts w:ascii="Times New Roman" w:hAnsi="Times New Roman" w:cs="Times New Roman"/>
          <w:szCs w:val="21"/>
        </w:rPr>
        <w:t xml:space="preserve">Bone. 2009 Feb;44(2):345-56. </w:t>
      </w:r>
    </w:p>
    <w:p>
      <w:pPr>
        <w:numPr>
          <w:ilvl w:val="0"/>
          <w:numId w:val="3"/>
        </w:numPr>
        <w:autoSpaceDE w:val="0"/>
        <w:autoSpaceDN w:val="0"/>
        <w:adjustRightInd w:val="0"/>
        <w:spacing w:line="360" w:lineRule="auto"/>
        <w:rPr>
          <w:rFonts w:ascii="Minion-Regular" w:hAnsi="Minion-Regular" w:cs="Minion-Regular"/>
          <w:b/>
          <w:bCs/>
          <w:kern w:val="0"/>
          <w:szCs w:val="21"/>
        </w:rPr>
      </w:pPr>
      <w:r>
        <w:rPr>
          <w:rFonts w:ascii="Times New Roman" w:hAnsi="Times New Roman" w:cs="Times New Roman"/>
          <w:szCs w:val="21"/>
        </w:rPr>
        <w:t>Qin L, Zhang G, Sheng H, Wang XL, Wang YX, Yeung KW, Griffith JF, Li ZR, Leung KS, Yao XS.</w:t>
      </w:r>
      <w:r>
        <w:fldChar w:fldCharType="begin"/>
      </w:r>
      <w:r>
        <w:instrText xml:space="preserve"> HYPERLINK "https://www.ncbi.nlm.nih.gov/pubmed/18398255" </w:instrText>
      </w:r>
      <w:r>
        <w:fldChar w:fldCharType="separate"/>
      </w:r>
      <w:r>
        <w:rPr>
          <w:rFonts w:ascii="Times New Roman" w:hAnsi="Times New Roman" w:cs="Times New Roman"/>
          <w:szCs w:val="21"/>
        </w:rPr>
        <w:t>Phytoestrogenic compounds for prevention of steroid-associated osteonecrosis.</w:t>
      </w:r>
      <w:r>
        <w:rPr>
          <w:rFonts w:ascii="Times New Roman" w:hAnsi="Times New Roman" w:cs="Times New Roman"/>
          <w:szCs w:val="21"/>
        </w:rPr>
        <w:fldChar w:fldCharType="end"/>
      </w:r>
      <w:r>
        <w:rPr>
          <w:rFonts w:ascii="Times New Roman" w:hAnsi="Times New Roman" w:cs="Times New Roman"/>
          <w:szCs w:val="21"/>
        </w:rPr>
        <w:t>J Musculoskelet Neuronal Interact. 2008 Jan-Mar;8(1):18-21</w:t>
      </w:r>
    </w:p>
    <w:p>
      <w:pPr>
        <w:autoSpaceDE w:val="0"/>
        <w:autoSpaceDN w:val="0"/>
        <w:adjustRightInd w:val="0"/>
        <w:spacing w:line="360" w:lineRule="auto"/>
        <w:jc w:val="left"/>
        <w:rPr>
          <w:b/>
          <w:bCs/>
          <w:szCs w:val="21"/>
        </w:rPr>
      </w:pPr>
      <w:r>
        <w:rPr>
          <w:rFonts w:hint="eastAsia"/>
          <w:b/>
          <w:bCs/>
          <w:szCs w:val="21"/>
        </w:rPr>
        <w:t>共同获得奖励</w:t>
      </w:r>
    </w:p>
    <w:p>
      <w:pPr>
        <w:numPr>
          <w:ilvl w:val="0"/>
          <w:numId w:val="4"/>
        </w:numPr>
        <w:autoSpaceDE w:val="0"/>
        <w:autoSpaceDN w:val="0"/>
        <w:adjustRightInd w:val="0"/>
        <w:spacing w:line="360" w:lineRule="auto"/>
        <w:jc w:val="left"/>
        <w:rPr>
          <w:szCs w:val="21"/>
        </w:rPr>
      </w:pPr>
      <w:r>
        <w:rPr>
          <w:rFonts w:hint="eastAsia"/>
          <w:szCs w:val="21"/>
        </w:rPr>
        <w:t>赵德伟，秦岭等研究项目《缺血性骨坏死股骨头塌陷预防及治疗方案》共同获得2013年辽宁省科技进步一等奖。</w:t>
      </w:r>
    </w:p>
    <w:p>
      <w:pPr>
        <w:numPr>
          <w:ilvl w:val="0"/>
          <w:numId w:val="4"/>
        </w:numPr>
        <w:autoSpaceDE w:val="0"/>
        <w:autoSpaceDN w:val="0"/>
        <w:adjustRightInd w:val="0"/>
        <w:spacing w:line="360" w:lineRule="auto"/>
        <w:jc w:val="left"/>
        <w:rPr>
          <w:szCs w:val="21"/>
        </w:rPr>
      </w:pPr>
      <w:r>
        <w:rPr>
          <w:rFonts w:hint="eastAsia"/>
          <w:szCs w:val="21"/>
        </w:rPr>
        <w:t>赵德伟，秦岭等研究项目《基于股骨头血运新发现结合生物材料临床转化预防和治疗股骨头坏死》共同获得2016年辽宁省科技进步一等奖。</w:t>
      </w:r>
    </w:p>
    <w:p>
      <w:pPr>
        <w:numPr>
          <w:ilvl w:val="0"/>
          <w:numId w:val="4"/>
        </w:numPr>
        <w:autoSpaceDE w:val="0"/>
        <w:autoSpaceDN w:val="0"/>
        <w:adjustRightInd w:val="0"/>
        <w:spacing w:line="360" w:lineRule="auto"/>
        <w:jc w:val="left"/>
        <w:rPr>
          <w:szCs w:val="21"/>
        </w:rPr>
      </w:pPr>
      <w:r>
        <w:rPr>
          <w:rFonts w:hint="eastAsia"/>
          <w:szCs w:val="21"/>
        </w:rPr>
        <w:t>秦岭，赵德伟研究项目《可降解镁基骨科螺钉》2016年日内瓦发明奖金奖</w:t>
      </w:r>
    </w:p>
    <w:p>
      <w:pPr>
        <w:autoSpaceDE w:val="0"/>
        <w:autoSpaceDN w:val="0"/>
        <w:adjustRightInd w:val="0"/>
        <w:spacing w:line="360" w:lineRule="auto"/>
        <w:ind w:firstLine="454" w:firstLineChars="200"/>
        <w:jc w:val="left"/>
        <w:rPr>
          <w:b/>
          <w:szCs w:val="21"/>
        </w:rPr>
      </w:pPr>
    </w:p>
    <w:p>
      <w:pPr>
        <w:rPr>
          <w:rFonts w:ascii="宋体" w:hAnsi="宋体"/>
          <w:color w:val="0D0D0D"/>
          <w:szCs w:val="21"/>
        </w:rPr>
      </w:pPr>
    </w:p>
    <w:p>
      <w:pPr>
        <w:rPr>
          <w:rFonts w:ascii="宋体" w:hAnsi="宋体"/>
          <w:color w:val="0D0D0D"/>
          <w:szCs w:val="21"/>
        </w:rPr>
      </w:pPr>
    </w:p>
    <w:p>
      <w:pPr>
        <w:rPr>
          <w:rFonts w:ascii="宋体" w:hAnsi="宋体"/>
          <w:color w:val="0D0D0D"/>
          <w:szCs w:val="21"/>
        </w:rPr>
      </w:pPr>
    </w:p>
    <w:p>
      <w:pPr>
        <w:wordWrap w:val="0"/>
        <w:jc w:val="right"/>
        <w:rPr>
          <w:rFonts w:ascii="宋体" w:hAnsi="宋体"/>
          <w:b/>
          <w:bCs/>
          <w:color w:val="0D0D0D"/>
          <w:szCs w:val="21"/>
        </w:rPr>
      </w:pPr>
      <w:r>
        <w:rPr>
          <w:rFonts w:hint="eastAsia" w:ascii="宋体" w:hAnsi="宋体"/>
          <w:b/>
          <w:bCs/>
          <w:color w:val="0D0D0D"/>
          <w:szCs w:val="21"/>
        </w:rPr>
        <w:t xml:space="preserve">             </w:t>
      </w:r>
    </w:p>
    <w:p>
      <w:pPr>
        <w:jc w:val="right"/>
        <w:rPr>
          <w:rFonts w:ascii="宋体" w:hAnsi="宋体"/>
          <w:b/>
          <w:bCs/>
          <w:color w:val="0D0D0D"/>
          <w:szCs w:val="21"/>
        </w:rPr>
      </w:pPr>
    </w:p>
    <w:p>
      <w:pPr>
        <w:spacing w:line="360" w:lineRule="auto"/>
        <w:ind w:right="1080"/>
        <w:jc w:val="right"/>
        <w:rPr>
          <w:rFonts w:ascii="宋体" w:hAnsi="宋体"/>
          <w:color w:val="0D0D0D"/>
          <w:sz w:val="24"/>
        </w:rPr>
      </w:pPr>
      <w:r>
        <w:rPr>
          <w:rFonts w:hint="eastAsia" w:ascii="宋体" w:hAnsi="宋体"/>
          <w:color w:val="0D0D0D"/>
          <w:szCs w:val="21"/>
        </w:rPr>
        <w:t xml:space="preserve"> </w:t>
      </w:r>
      <w:r>
        <w:rPr>
          <w:rFonts w:hint="eastAsia" w:ascii="宋体" w:hAnsi="宋体"/>
          <w:color w:val="0D0D0D"/>
          <w:sz w:val="24"/>
          <w:szCs w:val="24"/>
        </w:rPr>
        <w:t xml:space="preserve">  </w:t>
      </w:r>
    </w:p>
    <w:p>
      <w:pPr>
        <w:jc w:val="right"/>
        <w:rPr>
          <w:rFonts w:ascii="宋体" w:hAnsi="宋体"/>
          <w:color w:val="0D0D0D"/>
          <w:sz w:val="36"/>
        </w:rPr>
      </w:pPr>
    </w:p>
    <w:p>
      <w:pPr>
        <w:spacing w:line="360" w:lineRule="auto"/>
        <w:ind w:right="1080"/>
      </w:pPr>
      <w:r>
        <w:rPr>
          <w:rFonts w:hint="eastAsia" w:ascii="宋体" w:hAnsi="宋体"/>
          <w:color w:val="0D0D0D"/>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50"/>
    <w:family w:val="auto"/>
    <w:pitch w:val="default"/>
    <w:sig w:usb0="00000287" w:usb1="080F0000" w:usb2="00000000" w:usb3="00000000" w:csb0="0004009F" w:csb1="DFD70000"/>
  </w:font>
  <w:font w:name="Heiti SC Light">
    <w:altName w:val="Arial Unicode MS"/>
    <w:panose1 w:val="02000000000000000000"/>
    <w:charset w:val="50"/>
    <w:family w:val="auto"/>
    <w:pitch w:val="default"/>
    <w:sig w:usb0="00000000" w:usb1="00000000" w:usb2="00000010" w:usb3="00000000" w:csb0="003E0000" w:csb1="00000000"/>
  </w:font>
  <w:font w:name="方正小标宋简体">
    <w:altName w:val="微软雅黑"/>
    <w:panose1 w:val="00000000000000000000"/>
    <w:charset w:val="86"/>
    <w:family w:val="script"/>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楷体">
    <w:panose1 w:val="02010609060101010101"/>
    <w:charset w:val="50"/>
    <w:family w:val="auto"/>
    <w:pitch w:val="default"/>
    <w:sig w:usb0="800002BF" w:usb1="38CF7CFA" w:usb2="00000016" w:usb3="00000000" w:csb0="00040001" w:csb1="00000000"/>
  </w:font>
  <w:font w:name="AdvOT863180fb">
    <w:altName w:val="Segoe Print"/>
    <w:panose1 w:val="00000000000000000000"/>
    <w:charset w:val="00"/>
    <w:family w:val="roman"/>
    <w:pitch w:val="default"/>
    <w:sig w:usb0="00000000" w:usb1="00000000" w:usb2="00000000" w:usb3="00000000" w:csb0="00000001" w:csb1="00000000"/>
  </w:font>
  <w:font w:name="AdvOT863180fb+fb">
    <w:altName w:val="宋体"/>
    <w:panose1 w:val="00000000000000000000"/>
    <w:charset w:val="86"/>
    <w:family w:val="auto"/>
    <w:pitch w:val="default"/>
    <w:sig w:usb0="00000000" w:usb1="00000000" w:usb2="00000000" w:usb3="00000000" w:csb0="00040000" w:csb1="00000000"/>
  </w:font>
  <w:font w:name="Minion-Regular">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Lingoes Unicode">
    <w:altName w:val="Arial Unicode MS"/>
    <w:panose1 w:val="020B0604020202020204"/>
    <w:charset w:val="50"/>
    <w:family w:val="auto"/>
    <w:pitch w:val="default"/>
    <w:sig w:usb0="00000000" w:usb1="00000000" w:usb2="00000000" w:usb3="00000000" w:csb0="003E019F" w:csb1="4F030000"/>
  </w:font>
  <w:font w:name="方正仿宋简体">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dvPSFT-R">
    <w:altName w:val="Arial"/>
    <w:panose1 w:val="00000000000000000000"/>
    <w:charset w:val="00"/>
    <w:family w:val="swiss"/>
    <w:pitch w:val="default"/>
    <w:sig w:usb0="00000000" w:usb1="00000000" w:usb2="00000000" w:usb3="00000000" w:csb0="00000001" w:csb1="00000000"/>
  </w:font>
  <w:font w:name="Trade Gothic LT Std Light">
    <w:altName w:val="宋体"/>
    <w:panose1 w:val="00000000000000000000"/>
    <w:charset w:val="86"/>
    <w:family w:val="swiss"/>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5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467FD"/>
    <w:multiLevelType w:val="multilevel"/>
    <w:tmpl w:val="27A467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41293E"/>
    <w:multiLevelType w:val="singleLevel"/>
    <w:tmpl w:val="5841293E"/>
    <w:lvl w:ilvl="0" w:tentative="0">
      <w:start w:val="1"/>
      <w:numFmt w:val="decimal"/>
      <w:suff w:val="nothing"/>
      <w:lvlText w:val="%1．"/>
      <w:lvlJc w:val="left"/>
      <w:pPr>
        <w:ind w:left="309" w:firstLine="400"/>
      </w:pPr>
      <w:rPr>
        <w:rFonts w:hint="default"/>
      </w:rPr>
    </w:lvl>
  </w:abstractNum>
  <w:abstractNum w:abstractNumId="2">
    <w:nsid w:val="584CBCA3"/>
    <w:multiLevelType w:val="singleLevel"/>
    <w:tmpl w:val="584CBCA3"/>
    <w:lvl w:ilvl="0" w:tentative="0">
      <w:start w:val="1"/>
      <w:numFmt w:val="decimal"/>
      <w:lvlText w:val="%1."/>
      <w:lvlJc w:val="left"/>
      <w:pPr>
        <w:ind w:left="425" w:hanging="425"/>
      </w:pPr>
      <w:rPr>
        <w:rFonts w:hint="default"/>
      </w:rPr>
    </w:lvl>
  </w:abstractNum>
  <w:abstractNum w:abstractNumId="3">
    <w:nsid w:val="58579850"/>
    <w:multiLevelType w:val="singleLevel"/>
    <w:tmpl w:val="58579850"/>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467"/>
    <w:rsid w:val="00172A27"/>
    <w:rsid w:val="003F7342"/>
    <w:rsid w:val="0048176D"/>
    <w:rsid w:val="00A12FC9"/>
    <w:rsid w:val="00F6522B"/>
    <w:rsid w:val="03206449"/>
    <w:rsid w:val="037C131F"/>
    <w:rsid w:val="05E3119A"/>
    <w:rsid w:val="06CE0BAF"/>
    <w:rsid w:val="090A6A92"/>
    <w:rsid w:val="0B1C544E"/>
    <w:rsid w:val="0C946207"/>
    <w:rsid w:val="0D0231FF"/>
    <w:rsid w:val="0E9279F4"/>
    <w:rsid w:val="13355A42"/>
    <w:rsid w:val="137F71F6"/>
    <w:rsid w:val="15A04F5F"/>
    <w:rsid w:val="16D14309"/>
    <w:rsid w:val="16DE08C4"/>
    <w:rsid w:val="1FC83A76"/>
    <w:rsid w:val="1FF747A6"/>
    <w:rsid w:val="20B704D6"/>
    <w:rsid w:val="240F4F40"/>
    <w:rsid w:val="248E1CD4"/>
    <w:rsid w:val="25433F86"/>
    <w:rsid w:val="2E4A32CF"/>
    <w:rsid w:val="341871CB"/>
    <w:rsid w:val="35E50CB0"/>
    <w:rsid w:val="3771532B"/>
    <w:rsid w:val="3A492210"/>
    <w:rsid w:val="3B0A3A5B"/>
    <w:rsid w:val="4CE1753E"/>
    <w:rsid w:val="4D106E89"/>
    <w:rsid w:val="4F2D034B"/>
    <w:rsid w:val="51AB13C5"/>
    <w:rsid w:val="51F136C5"/>
    <w:rsid w:val="535E01F7"/>
    <w:rsid w:val="542B7982"/>
    <w:rsid w:val="56940416"/>
    <w:rsid w:val="575D652F"/>
    <w:rsid w:val="5D557B47"/>
    <w:rsid w:val="66C155B7"/>
    <w:rsid w:val="68FB0187"/>
    <w:rsid w:val="69312D8E"/>
    <w:rsid w:val="6D171E0D"/>
    <w:rsid w:val="6F351099"/>
    <w:rsid w:val="6FE348DE"/>
    <w:rsid w:val="71256399"/>
    <w:rsid w:val="75232D46"/>
    <w:rsid w:val="779A343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qFormat/>
    <w:uiPriority w:val="0"/>
    <w:rPr>
      <w:b/>
      <w:bCs/>
    </w:rPr>
  </w:style>
  <w:style w:type="paragraph" w:styleId="4">
    <w:name w:val="annotation text"/>
    <w:basedOn w:val="1"/>
    <w:link w:val="16"/>
    <w:qFormat/>
    <w:uiPriority w:val="0"/>
    <w:pPr>
      <w:jc w:val="left"/>
    </w:pPr>
  </w:style>
  <w:style w:type="paragraph" w:styleId="5">
    <w:name w:val="Plain Text"/>
    <w:basedOn w:val="1"/>
    <w:qFormat/>
    <w:uiPriority w:val="0"/>
    <w:pPr>
      <w:spacing w:line="360" w:lineRule="auto"/>
      <w:ind w:firstLine="480" w:firstLineChars="200"/>
    </w:pPr>
    <w:rPr>
      <w:rFonts w:ascii="仿宋_GB2312"/>
      <w:sz w:val="24"/>
    </w:rPr>
  </w:style>
  <w:style w:type="paragraph" w:styleId="6">
    <w:name w:val="Balloon Text"/>
    <w:basedOn w:val="1"/>
    <w:link w:val="18"/>
    <w:qFormat/>
    <w:uiPriority w:val="0"/>
    <w:rPr>
      <w:rFonts w:ascii="Heiti SC Light" w:eastAsia="Heiti SC Light"/>
      <w:sz w:val="18"/>
      <w:szCs w:val="18"/>
    </w:rPr>
  </w:style>
  <w:style w:type="paragraph" w:styleId="7">
    <w:name w:val="Body Text Indent 3"/>
    <w:basedOn w:val="1"/>
    <w:qFormat/>
    <w:uiPriority w:val="0"/>
    <w:pPr>
      <w:ind w:firstLine="420" w:firstLineChars="200"/>
    </w:pPr>
  </w:style>
  <w:style w:type="paragraph" w:styleId="8">
    <w:name w:val="Normal (Web)"/>
    <w:basedOn w:val="1"/>
    <w:qFormat/>
    <w:uiPriority w:val="0"/>
    <w:rPr>
      <w:sz w:val="24"/>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_Style 8"/>
    <w:basedOn w:val="1"/>
    <w:next w:val="1"/>
    <w:qFormat/>
    <w:uiPriority w:val="0"/>
    <w:pPr>
      <w:spacing w:line="360" w:lineRule="auto"/>
      <w:ind w:firstLine="480" w:firstLineChars="200"/>
    </w:pPr>
    <w:rPr>
      <w:rFonts w:ascii="仿宋_GB2312"/>
      <w:sz w:val="24"/>
    </w:rPr>
  </w:style>
  <w:style w:type="paragraph" w:customStyle="1" w:styleId="15">
    <w:name w:val="Default"/>
    <w:qForma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character" w:customStyle="1" w:styleId="16">
    <w:name w:val="注释文本字符"/>
    <w:basedOn w:val="9"/>
    <w:link w:val="4"/>
    <w:qFormat/>
    <w:uiPriority w:val="0"/>
    <w:rPr>
      <w:rFonts w:asciiTheme="minorHAnsi" w:hAnsiTheme="minorHAnsi" w:eastAsiaTheme="minorEastAsia" w:cstheme="minorBidi"/>
      <w:kern w:val="2"/>
      <w:sz w:val="21"/>
      <w:szCs w:val="22"/>
    </w:rPr>
  </w:style>
  <w:style w:type="character" w:customStyle="1" w:styleId="17">
    <w:name w:val="批注主题字符"/>
    <w:basedOn w:val="16"/>
    <w:link w:val="3"/>
    <w:qFormat/>
    <w:uiPriority w:val="0"/>
    <w:rPr>
      <w:rFonts w:asciiTheme="minorHAnsi" w:hAnsiTheme="minorHAnsi" w:eastAsiaTheme="minorEastAsia" w:cstheme="minorBidi"/>
      <w:b/>
      <w:bCs/>
      <w:kern w:val="2"/>
      <w:sz w:val="21"/>
      <w:szCs w:val="22"/>
    </w:rPr>
  </w:style>
  <w:style w:type="character" w:customStyle="1" w:styleId="18">
    <w:name w:val="批注框文本字符"/>
    <w:basedOn w:val="9"/>
    <w:link w:val="6"/>
    <w:qFormat/>
    <w:uiPriority w:val="0"/>
    <w:rPr>
      <w:rFonts w:ascii="Heiti SC Light" w:eastAsia="Heiti SC Light"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2137</Words>
  <Characters>12185</Characters>
  <Lines>101</Lines>
  <Paragraphs>28</Paragraphs>
  <ScaleCrop>false</ScaleCrop>
  <LinksUpToDate>false</LinksUpToDate>
  <CharactersWithSpaces>14294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2016-12-19T10:02:00Z</dcterms:created>
  <dc:creator>wbj2</dc:creator>
  <cp:lastModifiedBy>wbj2</cp:lastModifiedBy>
  <cp:lastPrinted>2016-12-19T08:13:00Z</cp:lastPrinted>
  <dcterms:modified xsi:type="dcterms:W3CDTF">2016-12-19T13:00:41Z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